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400"/>
      </w:pPr>
      <w:r>
        <w:rPr>
          <w:rFonts w:ascii="Arial" w:cs="Arial" w:eastAsia="Arial" w:hAnsi="Arial"/>
          <w:b/>
          <w:bCs/>
          <w:color w:val="FFFFFF"/>
          <w:sz w:val="48"/>
          <w:szCs w:val="48"/>
        </w:rPr>
        <w:t xml:space="preserve">OPERATIONS MANUAL</w:t>
      </w:r>
    </w:p>
    <w:p>
      <w:pPr>
        <w:spacing w:after="40"/>
      </w:pPr>
      <w:r>
        <w:rPr>
          <w:rFonts w:ascii="Arial" w:cs="Arial" w:eastAsia="Arial" w:hAnsi="Arial"/>
          <w:color w:val="8B949E"/>
          <w:sz w:val="24"/>
          <w:szCs w:val="24"/>
        </w:rPr>
        <w:t xml:space="preserve">Lighthouse Sprint — Stage 4: Handoff</w:t>
      </w:r>
    </w:p>
    <w:p>
      <w:pPr>
        <w:spacing w:after="600"/>
      </w:pPr>
      <w:r>
        <w:rPr>
          <w:rFonts w:ascii="Arial" w:cs="Arial" w:eastAsia="Arial" w:hAnsi="Arial"/>
          <w:color w:val="C9D1D9"/>
          <w:sz w:val="22"/>
          <w:szCs w:val="22"/>
        </w:rPr>
        <w:t xml:space="preserve">Your team's complete guide to running the agentic workflow day-to-day.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Client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[Client Name]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Workflow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[Workflow Name]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[Sprint Lead Name]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Date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[YYYY-MM-DD]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[1.0]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Confidential — Client Internal</w:t>
            </w:r>
          </w:p>
        </w:tc>
      </w:tr>
    </w:tbl>
    <w:p>
      <w:r>
        <w:br w:type="page"/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1. System Overview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Provide a plain-language summary of what the agentic workflow does. Write this for the operators who will run it daily — not for engineers.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1.1 What This System Does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[Describe the workflow in 2-3 sentences. What goes in, what comes out, who benefits.]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1.2 Workflow Architecture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Paste or reference the workflow diagram from the Redesign Blueprint. Label every agent, human checkpoint, and data flow.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[Insert workflow diagram or reference to diagram file]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1.3 Agents in This Workflow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List every agent deployed in this workflow. One row per agent.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600"/>
        <w:gridCol w:w="2800"/>
        <w:gridCol w:w="2560"/>
      </w:tblGrid>
      <w:tr>
        <w:tc>
          <w:tcPr>
            <w:tcW w:type="dxa" w:w="1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Agent ID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Agent Name</w:t>
            </w:r>
          </w:p>
        </w:tc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Classification</w:t>
            </w:r>
          </w:p>
        </w:tc>
      </w:tr>
      <w:tr>
        <w:tc>
          <w:tcPr>
            <w:tcW w:type="dxa" w:w="1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[AGT-0X]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[One-line description]</w:t>
            </w:r>
          </w:p>
        </w:tc>
        <w:tc>
          <w:tcPr>
            <w:tcW w:type="dxa" w:w="2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[Classification]</w:t>
            </w:r>
          </w:p>
        </w:tc>
      </w:tr>
      <w:tr>
        <w:tc>
          <w:tcPr>
            <w:tcW w:type="dxa" w:w="1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[AGT-0X]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[One-line description]</w:t>
            </w:r>
          </w:p>
        </w:tc>
        <w:tc>
          <w:tcPr>
            <w:tcW w:type="dxa" w:w="2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[Classification]</w:t>
            </w:r>
          </w:p>
        </w:tc>
      </w:tr>
      <w:tr>
        <w:tc>
          <w:tcPr>
            <w:tcW w:type="dxa" w:w="1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[AGT-0X]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[One-line description]</w:t>
            </w:r>
          </w:p>
        </w:tc>
        <w:tc>
          <w:tcPr>
            <w:tcW w:type="dxa" w:w="2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[Classification]</w:t>
            </w:r>
          </w:p>
        </w:tc>
      </w:tr>
      <w:tr>
        <w:tc>
          <w:tcPr>
            <w:tcW w:type="dxa" w:w="1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[AGT-0X]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[One-line description]</w:t>
            </w:r>
          </w:p>
        </w:tc>
        <w:tc>
          <w:tcPr>
            <w:tcW w:type="dxa" w:w="2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[Classification]</w:t>
            </w:r>
          </w:p>
        </w:tc>
      </w:tr>
      <w:tr>
        <w:tc>
          <w:tcPr>
            <w:tcW w:type="dxa" w:w="1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[AGT-0X]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[One-line description]</w:t>
            </w:r>
          </w:p>
        </w:tc>
        <w:tc>
          <w:tcPr>
            <w:tcW w:type="dxa" w:w="2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[Classification]</w:t>
            </w:r>
          </w:p>
        </w:tc>
      </w:tr>
    </w:tbl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2. Daily Operations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What does an operator need to do every day to keep this workflow running?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2.1 Morning Checklist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List the checks an operator should run at the start of each day.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[1. Check monitoring dashboard for overnight alerts]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[2. Review agent queue — any stuck or failed items?]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[3. Verify data inputs are flowing — check source systems]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[4. Review any items flagged for human approval]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[5. Check governance dashboard — any escalations pending?]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2.2 During the Day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What ongoing tasks does the operator manage?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[Describe the steady-state operation — what the operator monitors, when they intervene, how they handle the human-approval queue.]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2.3 End of Day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What wrap-up activities are needed?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[1. Review daily throughput — compare to baseline targets]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[2. Clear any remaining approval queue items]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[3. Note any anomalies in the daily log]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[4. Confirm all agents completed their scheduled runs]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2.4 Weekly Tasks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[List any weekly maintenance, reporting, or review tasks.]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3. Human Checkpoints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For every agent-initiated, human-approved task — what does the operator need to review, and how do they approve or reject?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3.1 Approval Queue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[Describe where approval requests appear — dashboard, email, Slack, etc. How does the operator access them?]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3.2 Review Criteria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For each type of approval, what should the operator check before approving?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600"/>
        <w:gridCol w:w="2400"/>
        <w:gridCol w:w="2360"/>
      </w:tblGrid>
      <w:tr>
        <w:tc>
          <w:tcPr>
            <w:tcW w:type="dxa" w:w="20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Agent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Review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Approve If</w:t>
            </w:r>
          </w:p>
        </w:tc>
        <w:tc>
          <w:tcPr>
            <w:tcW w:type="dxa" w:w="23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Reject If</w:t>
            </w:r>
          </w:p>
        </w:tc>
      </w:tr>
      <w:tr>
        <w:tc>
          <w:tcPr>
            <w:tcW w:type="dxa" w:w="20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[Agent Name]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[What to check]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[Criteria for approval]</w:t>
            </w:r>
          </w:p>
        </w:tc>
        <w:tc>
          <w:tcPr>
            <w:tcW w:type="dxa" w:w="23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[Criteria for rejection]</w:t>
            </w:r>
          </w:p>
        </w:tc>
      </w:tr>
      <w:tr>
        <w:tc>
          <w:tcPr>
            <w:tcW w:type="dxa" w:w="20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[Agent Name]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[What to check]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[Criteria for approval]</w:t>
            </w:r>
          </w:p>
        </w:tc>
        <w:tc>
          <w:tcPr>
            <w:tcW w:type="dxa" w:w="23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[Criteria for rejection]</w:t>
            </w:r>
          </w:p>
        </w:tc>
      </w:tr>
      <w:tr>
        <w:tc>
          <w:tcPr>
            <w:tcW w:type="dxa" w:w="20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[Agent Name]</w:t>
            </w:r>
          </w:p>
        </w:tc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[What to check]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[Criteria for approval]</w:t>
            </w:r>
          </w:p>
        </w:tc>
        <w:tc>
          <w:tcPr>
            <w:tcW w:type="dxa" w:w="23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[Criteria for rejection]</w:t>
            </w:r>
          </w:p>
        </w:tc>
      </w:tr>
    </w:tbl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3.3 Handling Rejections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[What happens when an operator rejects an agent's output? Does it retry, escalate, or require manual completion?]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4. Troubleshooting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Common issues and their solutions. Written for operators, not engineers.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4.1 Common Issues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160"/>
      </w:tblGrid>
      <w:tr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Symptom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Likely Cause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Fix</w:t>
            </w:r>
          </w:p>
        </w:tc>
        <w:tc>
          <w:tcPr>
            <w:tcW w:type="dxa" w:w="21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Escalate If</w:t>
            </w:r>
          </w:p>
        </w:tc>
      </w:tr>
      <w:tr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[What the operator sees]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[Root cause]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[Step-by-step fix]</w:t>
            </w:r>
          </w:p>
        </w:tc>
        <w:tc>
          <w:tcPr>
            <w:tcW w:type="dxa" w:w="21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[When to call for help]</w:t>
            </w:r>
          </w:p>
        </w:tc>
      </w:tr>
      <w:tr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[What the operator sees]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[Root cause]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[Step-by-step fix]</w:t>
            </w:r>
          </w:p>
        </w:tc>
        <w:tc>
          <w:tcPr>
            <w:tcW w:type="dxa" w:w="21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[When to call for help]</w:t>
            </w:r>
          </w:p>
        </w:tc>
      </w:tr>
      <w:tr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[What the operator sees]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[Root cause]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[Step-by-step fix]</w:t>
            </w:r>
          </w:p>
        </w:tc>
        <w:tc>
          <w:tcPr>
            <w:tcW w:type="dxa" w:w="21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[When to call for help]</w:t>
            </w:r>
          </w:p>
        </w:tc>
      </w:tr>
      <w:tr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[What the operator sees]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[Root cause]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[Step-by-step fix]</w:t>
            </w:r>
          </w:p>
        </w:tc>
        <w:tc>
          <w:tcPr>
            <w:tcW w:type="dxa" w:w="21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[When to call for help]</w:t>
            </w:r>
          </w:p>
        </w:tc>
      </w:tr>
      <w:tr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[What the operator sees]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[Root cause]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[Step-by-step fix]</w:t>
            </w:r>
          </w:p>
        </w:tc>
        <w:tc>
          <w:tcPr>
            <w:tcW w:type="dxa" w:w="21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[When to call for help]</w:t>
            </w:r>
          </w:p>
        </w:tc>
      </w:tr>
    </w:tbl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4.2 Escalation Path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[Level 1: Operator tries the fix from the table above]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[Level 2: Contact [Team Lead / Technical Support] via [channel]]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[Level 3: Contact Umbra Studio support (within 30-day window) via [channel]]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5. Performance Monitoring</w:t>
      </w:r>
    </w:p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5.1 Key Metrics to Track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800"/>
        <w:gridCol w:w="1800"/>
        <w:gridCol w:w="1600"/>
        <w:gridCol w:w="1560"/>
      </w:tblGrid>
      <w:tr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Baseline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1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</w:t>
            </w:r>
          </w:p>
        </w:tc>
        <w:tc>
          <w:tcPr>
            <w:tcW w:type="dxa" w:w="1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C9D1D9"/>
                <w:sz w:val="20"/>
                <w:szCs w:val="20"/>
              </w:rPr>
              <w:t xml:space="preserve">End-to-End Cycle Time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[from baseline]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[target]</w:t>
            </w:r>
          </w:p>
        </w:tc>
        <w:tc>
          <w:tcPr>
            <w:tcW w:type="dxa" w:w="1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[measure]</w:t>
            </w:r>
          </w:p>
        </w:tc>
        <w:tc>
          <w:tcPr>
            <w:tcW w:type="dxa" w:w="1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[on/off track]</w:t>
            </w:r>
          </w:p>
        </w:tc>
      </w:tr>
      <w:tr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C9D1D9"/>
                <w:sz w:val="20"/>
                <w:szCs w:val="20"/>
              </w:rPr>
              <w:t xml:space="preserve">Throughput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[from baseline]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[target]</w:t>
            </w:r>
          </w:p>
        </w:tc>
        <w:tc>
          <w:tcPr>
            <w:tcW w:type="dxa" w:w="1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[measure]</w:t>
            </w:r>
          </w:p>
        </w:tc>
        <w:tc>
          <w:tcPr>
            <w:tcW w:type="dxa" w:w="1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[on/off track]</w:t>
            </w:r>
          </w:p>
        </w:tc>
      </w:tr>
      <w:tr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C9D1D9"/>
                <w:sz w:val="20"/>
                <w:szCs w:val="20"/>
              </w:rPr>
              <w:t xml:space="preserve">Error Rate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[from baseline]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[target]</w:t>
            </w:r>
          </w:p>
        </w:tc>
        <w:tc>
          <w:tcPr>
            <w:tcW w:type="dxa" w:w="1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[measure]</w:t>
            </w:r>
          </w:p>
        </w:tc>
        <w:tc>
          <w:tcPr>
            <w:tcW w:type="dxa" w:w="1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[on/off track]</w:t>
            </w:r>
          </w:p>
        </w:tc>
      </w:tr>
      <w:tr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C9D1D9"/>
                <w:sz w:val="20"/>
                <w:szCs w:val="20"/>
              </w:rPr>
              <w:t xml:space="preserve">Human Hours per Cycle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[from baseline]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[target]</w:t>
            </w:r>
          </w:p>
        </w:tc>
        <w:tc>
          <w:tcPr>
            <w:tcW w:type="dxa" w:w="1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[measure]</w:t>
            </w:r>
          </w:p>
        </w:tc>
        <w:tc>
          <w:tcPr>
            <w:tcW w:type="dxa" w:w="1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0D11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[on/off track]</w:t>
            </w:r>
          </w:p>
        </w:tc>
      </w:tr>
      <w:tr>
        <w:tc>
          <w:tcPr>
            <w:tcW w:type="dxa" w:w="2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C9D1D9"/>
                <w:sz w:val="20"/>
                <w:szCs w:val="20"/>
              </w:rPr>
              <w:t xml:space="preserve">Agent Uptime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N/A</w:t>
            </w:r>
          </w:p>
        </w:tc>
        <w:tc>
          <w:tcPr>
            <w:tcW w:type="dxa" w:w="1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99.5%</w:t>
            </w:r>
          </w:p>
        </w:tc>
        <w:tc>
          <w:tcPr>
            <w:tcW w:type="dxa" w:w="1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[measure]</w:t>
            </w:r>
          </w:p>
        </w:tc>
        <w:tc>
          <w:tcPr>
            <w:tcW w:type="dxa" w:w="1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[on/off track]</w:t>
            </w:r>
          </w:p>
        </w:tc>
      </w:tr>
    </w:tbl>
    <w:p>
      <w:pPr>
        <w:pStyle w:val="Heading2"/>
        <w:pBdr>
          <w:bottom w:val="single" w:color="4DFF7A" w:sz="1" w:space="4"/>
        </w:pBdr>
        <w:spacing w:after="160" w:before="320"/>
      </w:pPr>
      <w:r>
        <w:rPr>
          <w:rFonts w:ascii="Arial" w:cs="Arial" w:eastAsia="Arial" w:hAnsi="Arial"/>
          <w:b/>
          <w:bCs/>
          <w:color w:val="4DFF7A"/>
          <w:sz w:val="26"/>
          <w:szCs w:val="26"/>
        </w:rPr>
        <w:t xml:space="preserve">5.2 Monitoring Dashboard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[URL or access instructions for the monitoring dashboard]</w:t>
      </w:r>
    </w:p>
    <w:p>
      <w:pPr>
        <w:spacing w:after="120"/>
      </w:pPr>
      <w:r>
        <w:rPr>
          <w:rFonts w:ascii="Arial" w:cs="Arial" w:eastAsia="Arial" w:hAnsi="Arial"/>
          <w:color w:val="C9D1D9"/>
          <w:sz w:val="20"/>
          <w:szCs w:val="20"/>
        </w:rPr>
        <w:t xml:space="preserve">[What to look at, how often, what normal looks like]</w:t>
      </w:r>
    </w:p>
    <w:p>
      <w:r>
        <w:br w:type="pag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6. Contacts &amp; Support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Workflow Owner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[Name, email, phone]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Primary Operator(s)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[Names and contact info]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Technical Support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[Internal team contact]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Umbra Studio Contact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[Sprint Lead name, email — for 30-day support window]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Support Window Ends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[Date — 30 days after handoff]</w:t>
            </w:r>
          </w:p>
        </w:tc>
      </w:tr>
      <w:tr>
        <w:tc>
          <w:tcPr>
            <w:tcW w:type="dxa" w:w="28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DFF7A"/>
                <w:sz w:val="20"/>
                <w:szCs w:val="20"/>
              </w:rPr>
              <w:t xml:space="preserve">Emergency Contact</w:t>
            </w:r>
          </w:p>
        </w:tc>
        <w:tc>
          <w:tcPr>
            <w:tcW w:type="dxa" w:w="65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949E"/>
                <w:sz w:val="20"/>
                <w:szCs w:val="20"/>
              </w:rPr>
              <w:t xml:space="preserve">[For critical system failures outside business hours]</w:t>
            </w:r>
          </w:p>
        </w:tc>
      </w:tr>
    </w:tbl>
    <w:p>
      <w:pPr>
        <w:spacing w:before="480"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7. Change Log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8B949E"/>
          <w:sz w:val="18"/>
          <w:szCs w:val="18"/>
        </w:rPr>
        <w:t xml:space="preserve">Track all updates to this manual.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2400"/>
        <w:gridCol w:w="4160"/>
      </w:tblGrid>
      <w:tr>
        <w:tc>
          <w:tcPr>
            <w:tcW w:type="dxa" w:w="1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2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Changed By</w:t>
            </w:r>
          </w:p>
        </w:tc>
        <w:tc>
          <w:tcPr>
            <w:tcW w:type="dxa" w:w="41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16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9D1D9"/>
                <w:sz w:val="20"/>
                <w:szCs w:val="20"/>
              </w:rPr>
              <w:t xml:space="preserve">[YYYY-MM-DD]</w:t>
            </w:r>
          </w:p>
        </w:tc>
        <w:tc>
          <w:tcPr>
            <w:tcW w:type="dxa" w:w="12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9D1D9"/>
                <w:sz w:val="20"/>
                <w:szCs w:val="20"/>
              </w:rPr>
              <w:t xml:space="preserve">[1.0]</w:t>
            </w:r>
          </w:p>
        </w:tc>
        <w:tc>
          <w:tcPr>
            <w:tcW w:type="dxa" w:w="240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9D1D9"/>
                <w:sz w:val="20"/>
                <w:szCs w:val="20"/>
              </w:rPr>
              <w:t xml:space="preserve">[Sprint Lead]</w:t>
            </w:r>
          </w:p>
        </w:tc>
        <w:tc>
          <w:tcPr>
            <w:tcW w:type="dxa" w:w="4160"/>
            <w:tcBorders>
              <w:top w:val="single" w:color="30363D" w:sz="1"/>
              <w:left w:val="single" w:color="30363D" w:sz="1"/>
              <w:bottom w:val="single" w:color="30363D" w:sz="1"/>
              <w:right w:val="single" w:color="30363D" w:sz="1"/>
            </w:tcBorders>
            <w:shd w:fill="161B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9D1D9"/>
                <w:sz w:val="20"/>
                <w:szCs w:val="20"/>
              </w:rPr>
              <w:t xml:space="preserve">Initial version — created during Handoff stage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Arial" w:cs="Arial" w:eastAsia="Arial" w:hAnsi="Arial"/>
        <w:color w:val="8B949E"/>
        <w:sz w:val="16"/>
        <w:szCs w:val="16"/>
      </w:rPr>
      <w:t xml:space="preserve">Confidential  |  Page </w:t>
    </w:r>
    <w:r>
      <w:rPr>
        <w:rFonts w:ascii="Arial" w:cs="Arial" w:eastAsia="Arial" w:hAnsi="Arial"/>
        <w:color w:val="8B949E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color w:val="4DFF7A"/>
        <w:sz w:val="16"/>
        <w:szCs w:val="16"/>
      </w:rPr>
      <w:t xml:space="preserve">UMBRA STUDIO</w:t>
    </w:r>
    <w:r>
      <w:rPr>
        <w:rFonts w:ascii="Arial" w:cs="Arial" w:eastAsia="Arial" w:hAnsi="Arial"/>
        <w:color w:val="8B949E"/>
        <w:sz w:val="16"/>
        <w:szCs w:val="16"/>
      </w:rPr>
      <w:t xml:space="preserve">  |  Operations Manual  |  Lighthouse Sprint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2026-04-17T06:10:29.273Z</dcterms:created>
  <dcterms:modified xsi:type="dcterms:W3CDTF">2026-04-17T06:10:29.273Z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