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jc w:val="left"/>
      </w:pPr>
      <w:r>
        <w:rPr>
          <w:rFonts w:ascii="Arial" w:cs="Arial" w:eastAsia="Arial" w:hAnsi="Arial"/>
          <w:b/>
          <w:bCs/>
          <w:color w:val="4A5A7A"/>
          <w:spacing w:val="200"/>
          <w:sz w:val="20"/>
          <w:szCs w:val="20"/>
        </w:rPr>
        <w:t xml:space="preserve">UMBRA STUDIO</w:t>
      </w:r>
    </w:p>
    <w:p>
      <w:pPr>
        <w:spacing w:after="100"/>
      </w:pPr>
    </w:p>
    <w:p>
      <w:pPr>
        <w:spacing w:after="200"/>
        <w:jc w:val="left"/>
      </w:pPr>
      <w:r>
        <w:rPr>
          <w:rFonts w:ascii="Arial" w:cs="Arial" w:eastAsia="Arial" w:hAnsi="Arial"/>
          <w:b/>
          <w:bCs/>
          <w:color w:val="040608"/>
          <w:sz w:val="52"/>
          <w:szCs w:val="52"/>
        </w:rPr>
        <w:t xml:space="preserve">Competitive Landscape &amp;</w:t>
      </w:r>
    </w:p>
    <w:p>
      <w:pPr>
        <w:spacing w:after="300"/>
        <w:jc w:val="left"/>
      </w:pPr>
      <w:r>
        <w:rPr>
          <w:rFonts w:ascii="Arial" w:cs="Arial" w:eastAsia="Arial" w:hAnsi="Arial"/>
          <w:b/>
          <w:bCs/>
          <w:color w:val="040608"/>
          <w:sz w:val="52"/>
          <w:szCs w:val="52"/>
        </w:rPr>
        <w:t xml:space="preserve">Best Practices Analysis</w:t>
      </w:r>
    </w:p>
    <w:p>
      <w:pPr>
        <w:pBdr>
          <w:top w:val="single" w:color="4D9EFF" w:sz="6" w:space="8"/>
        </w:pBdr>
        <w:spacing w:after="0" w:before="200"/>
      </w:pPr>
    </w:p>
    <w:p>
      <w:pPr>
        <w:spacing w:after="100"/>
      </w:pPr>
      <w:r>
        <w:rPr>
          <w:rFonts w:ascii="Arial" w:cs="Arial" w:eastAsia="Arial" w:hAnsi="Arial"/>
          <w:color w:val="4A5A7A"/>
          <w:sz w:val="20"/>
          <w:szCs w:val="20"/>
        </w:rPr>
        <w:t xml:space="preserve">AI Workflow Redesign Consulting  |  Market Intelligence  |  Positioning Strategy</w:t>
      </w:r>
    </w:p>
    <w:p>
      <w:pPr>
        <w:spacing w:after="1600"/>
      </w:pPr>
    </w:p>
    <w:p>
      <w:r>
        <w:rPr>
          <w:rFonts w:ascii="Arial" w:cs="Arial" w:eastAsia="Arial" w:hAnsi="Arial"/>
          <w:color w:val="A8B8D8"/>
          <w:sz w:val="20"/>
          <w:szCs w:val="20"/>
        </w:rPr>
        <w:t xml:space="preserve">Prepared: April 2026</w:t>
      </w:r>
    </w:p>
    <w:p>
      <w:r>
        <w:rPr>
          <w:rFonts w:ascii="Arial" w:cs="Arial" w:eastAsia="Arial" w:hAnsi="Arial"/>
          <w:color w:val="4A5A7A"/>
          <w:sz w:val="18"/>
          <w:szCs w:val="18"/>
        </w:rPr>
        <w:t xml:space="preserve">Confidential — Umbra Group Internal</w:t>
      </w:r>
    </w:p>
    <w:p>
      <w:pPr>
        <w:sectPr>
          <w:pgSz w:w="12240" w:h="15840" w:orient="portrait"/>
          <w:pgMar w:top="1440" w:right="1440" w:bottom="1440" w:left="1440" w:header="708" w:footer="708" w:gutter="0"/>
          <w:pgNumType/>
          <w:docGrid w:linePitch="360"/>
        </w:sectPr>
      </w:pPr>
    </w:p>
    <w:p>
      <w:pPr>
        <w:pStyle w:val="Heading1"/>
        <w:spacing w:after="200" w:before="400"/>
      </w:pPr>
      <w:r>
        <w:rPr>
          <w:rFonts w:ascii="Arial" w:cs="Arial" w:eastAsia="Arial" w:hAnsi="Arial"/>
          <w:b/>
          <w:bCs/>
          <w:color w:val="040608"/>
          <w:sz w:val="32"/>
          <w:szCs w:val="32"/>
        </w:rPr>
        <w:t xml:space="preserve">1. Executive Summary</w:t>
      </w:r>
    </w:p>
    <w:p>
      <w:pPr>
        <w:spacing w:after="160" w:line="276"/>
      </w:pPr>
      <w:r>
        <w:rPr>
          <w:rFonts w:ascii="Arial" w:cs="Arial" w:eastAsia="Arial" w:hAnsi="Arial"/>
          <w:color w:val="333333"/>
          <w:sz w:val="21"/>
          <w:szCs w:val="21"/>
        </w:rPr>
        <w:t xml:space="preserve">This analysis maps the competitive landscape for AI workflow redesign consulting—the market Umbra Studio is entering with its Lighthouse Sprint offering. The research covers engagement models, pricing structures, positioning strategies, and governance approaches across the market, from Big 4 firms to boutique studios and agentic AI startups.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D9EFF" w:sz="6"/>
              <w:left w:val="none" w:color="FFFFFF" w:sz="0"/>
              <w:bottom w:val="none" w:color="FFFFFF" w:sz="0"/>
              <w:right w:val="none" w:color="FFFFFF" w:sz="0"/>
            </w:tcBorders>
            <w:shd w:fill="EBF3FF" w:val="clear"/>
            <w:tcMar>
              <w:top w:type="dxa" w:w="160"/>
              <w:left w:type="dxa" w:w="200"/>
              <w:bottom w:type="dxa" w:w="160"/>
              <w:right w:type="dxa" w:w="200"/>
            </w:tcMar>
          </w:tcPr>
          <w:p>
            <w:pPr>
              <w:spacing w:after="80"/>
            </w:pPr>
            <w:r>
              <w:rPr>
                <w:rFonts w:ascii="Arial" w:cs="Arial" w:eastAsia="Arial" w:hAnsi="Arial"/>
                <w:b/>
                <w:bCs/>
                <w:color w:val="4D9EFF"/>
                <w:sz w:val="21"/>
                <w:szCs w:val="21"/>
              </w:rPr>
              <w:t xml:space="preserve">The Core Market Insight</w:t>
            </w:r>
          </w:p>
          <w:p>
            <w:pPr>
              <w:spacing w:after="0"/>
            </w:pPr>
            <w:r>
              <w:rPr>
                <w:rFonts w:ascii="Arial" w:cs="Arial" w:eastAsia="Arial" w:hAnsi="Arial"/>
                <w:color w:val="444444"/>
                <w:sz w:val="20"/>
                <w:szCs w:val="20"/>
              </w:rPr>
              <w:t xml:space="preserve">McKinsey’s 2025 State of AI report found that among 25 organizational factors tested, workflow redesign has the single biggest effect on whether AI delivers EBIT impact. Yet only 21% of companies have fundamentally redesigned even some of their workflows. Nearly 80% are layering AI onto existing processes without rethinking how work flows. This is the gap Umbra Studio is built to close.</w:t>
            </w:r>
          </w:p>
        </w:tc>
      </w:tr>
    </w:tbl>
    <w:p>
      <w:pPr>
        <w:spacing w:after="80"/>
      </w:pPr>
    </w:p>
    <w:p>
      <w:pPr>
        <w:pStyle w:val="Heading2"/>
        <w:spacing w:after="150" w:before="300"/>
      </w:pPr>
      <w:r>
        <w:rPr>
          <w:rFonts w:ascii="Arial" w:cs="Arial" w:eastAsia="Arial" w:hAnsi="Arial"/>
          <w:b/>
          <w:bCs/>
          <w:color w:val="4D9EFF"/>
          <w:sz w:val="26"/>
          <w:szCs w:val="26"/>
        </w:rPr>
        <w:t xml:space="preserve">Key Findings at a Glance</w:t>
      </w:r>
    </w:p>
    <w:p>
      <w:pPr>
        <w:pStyle w:val="ListParagraph"/>
        <w:numPr>
          <w:ilvl w:val="0"/>
          <w:numId w:val="2"/>
        </w:numPr>
        <w:spacing w:after="80" w:line="276"/>
      </w:pPr>
      <w:r>
        <w:rPr>
          <w:rFonts w:ascii="Arial" w:cs="Arial" w:eastAsia="Arial" w:hAnsi="Arial"/>
          <w:b/>
          <w:bCs/>
          <w:color w:val="333333"/>
          <w:sz w:val="21"/>
          <w:szCs w:val="21"/>
        </w:rPr>
        <w:t xml:space="preserve">The market is crowded at the advisory tier </w:t>
      </w:r>
      <w:r>
        <w:rPr>
          <w:rFonts w:ascii="Arial" w:cs="Arial" w:eastAsia="Arial" w:hAnsi="Arial"/>
          <w:color w:val="333333"/>
          <w:sz w:val="21"/>
          <w:szCs w:val="21"/>
        </w:rPr>
        <w:t xml:space="preserve">but thin at the implementation tier. Most firms deliver strategy decks; few ship working systems. Umbra’s “no decks, working systems” positioning is differentiated and defensible.</w:t>
      </w:r>
    </w:p>
    <w:p>
      <w:pPr>
        <w:pStyle w:val="ListParagraph"/>
        <w:numPr>
          <w:ilvl w:val="0"/>
          <w:numId w:val="2"/>
        </w:numPr>
        <w:spacing w:after="80" w:line="276"/>
      </w:pPr>
      <w:r>
        <w:rPr>
          <w:rFonts w:ascii="Arial" w:cs="Arial" w:eastAsia="Arial" w:hAnsi="Arial"/>
          <w:b/>
          <w:bCs/>
          <w:color w:val="333333"/>
          <w:sz w:val="21"/>
          <w:szCs w:val="21"/>
        </w:rPr>
        <w:t xml:space="preserve">Dogfooding is the rarest moat. </w:t>
      </w:r>
      <w:r>
        <w:rPr>
          <w:rFonts w:ascii="Arial" w:cs="Arial" w:eastAsia="Arial" w:hAnsi="Arial"/>
          <w:color w:val="333333"/>
          <w:sz w:val="21"/>
          <w:szCs w:val="21"/>
        </w:rPr>
        <w:t xml:space="preserve">No competitor we found runs its own agentic businesses at commercial scale and uses those as the foundation for client engagements. This is Umbra’s single strongest differentiator.</w:t>
      </w:r>
    </w:p>
    <w:p>
      <w:pPr>
        <w:pStyle w:val="ListParagraph"/>
        <w:numPr>
          <w:ilvl w:val="0"/>
          <w:numId w:val="2"/>
        </w:numPr>
        <w:spacing w:after="80" w:line="276"/>
      </w:pPr>
      <w:r>
        <w:rPr>
          <w:rFonts w:ascii="Arial" w:cs="Arial" w:eastAsia="Arial" w:hAnsi="Arial"/>
          <w:b/>
          <w:bCs/>
          <w:color w:val="333333"/>
          <w:sz w:val="21"/>
          <w:szCs w:val="21"/>
        </w:rPr>
        <w:t xml:space="preserve">Sprint-based, fixed-fee engagements are emerging </w:t>
      </w:r>
      <w:r>
        <w:rPr>
          <w:rFonts w:ascii="Arial" w:cs="Arial" w:eastAsia="Arial" w:hAnsi="Arial"/>
          <w:color w:val="333333"/>
          <w:sz w:val="21"/>
          <w:szCs w:val="21"/>
        </w:rPr>
        <w:t xml:space="preserve">as the preferred model for mid-market buyers, but most firms still default to hourly or retainer billing. Umbra’s Lighthouse Sprint aligns with where buyer preferences are heading.</w:t>
      </w:r>
    </w:p>
    <w:p>
      <w:pPr>
        <w:pStyle w:val="ListParagraph"/>
        <w:numPr>
          <w:ilvl w:val="0"/>
          <w:numId w:val="2"/>
        </w:numPr>
        <w:spacing w:after="80" w:line="276"/>
      </w:pPr>
      <w:r>
        <w:rPr>
          <w:rFonts w:ascii="Arial" w:cs="Arial" w:eastAsia="Arial" w:hAnsi="Arial"/>
          <w:b/>
          <w:bCs/>
          <w:color w:val="333333"/>
          <w:sz w:val="21"/>
          <w:szCs w:val="21"/>
        </w:rPr>
        <w:t xml:space="preserve">Governance is everyone’s slide 12, nobody’s deliverable. </w:t>
      </w:r>
      <w:r>
        <w:rPr>
          <w:rFonts w:ascii="Arial" w:cs="Arial" w:eastAsia="Arial" w:hAnsi="Arial"/>
          <w:color w:val="333333"/>
          <w:sz w:val="21"/>
          <w:szCs w:val="21"/>
        </w:rPr>
        <w:t xml:space="preserve">Firms talk about AI governance in pitch decks but rarely ship it as a production-ready wrapper alongside the system. Umbra can own this.</w:t>
      </w:r>
    </w:p>
    <w:p>
      <w:pPr>
        <w:pStyle w:val="ListParagraph"/>
        <w:numPr>
          <w:ilvl w:val="0"/>
          <w:numId w:val="2"/>
        </w:numPr>
        <w:spacing w:after="80" w:line="276"/>
      </w:pPr>
      <w:r>
        <w:rPr>
          <w:rFonts w:ascii="Arial" w:cs="Arial" w:eastAsia="Arial" w:hAnsi="Arial"/>
          <w:b/>
          <w:bCs/>
          <w:color w:val="333333"/>
          <w:sz w:val="21"/>
          <w:szCs w:val="21"/>
        </w:rPr>
        <w:t xml:space="preserve">73% of consulting buyers now prefer outcome-tied pricing </w:t>
      </w:r>
      <w:r>
        <w:rPr>
          <w:rFonts w:ascii="Arial" w:cs="Arial" w:eastAsia="Arial" w:hAnsi="Arial"/>
          <w:color w:val="333333"/>
          <w:sz w:val="21"/>
          <w:szCs w:val="21"/>
        </w:rPr>
        <w:t xml:space="preserve">(up from roughly 50% two years ago), but only 22% of enterprise AI deals actually use it. First movers on outcome-based pricing win trust.</w:t>
      </w:r>
    </w:p>
    <w:p>
      <w:pPr>
        <w:spacing w:after="80"/>
      </w:pPr>
    </w:p>
    <w:p>
      <w:r>
        <w:br w:type="page"/>
      </w:r>
    </w:p>
    <w:p>
      <w:pPr>
        <w:pStyle w:val="Heading1"/>
        <w:spacing w:after="200" w:before="400"/>
      </w:pPr>
      <w:r>
        <w:rPr>
          <w:rFonts w:ascii="Arial" w:cs="Arial" w:eastAsia="Arial" w:hAnsi="Arial"/>
          <w:b/>
          <w:bCs/>
          <w:color w:val="040608"/>
          <w:sz w:val="32"/>
          <w:szCs w:val="32"/>
        </w:rPr>
        <w:t xml:space="preserve">2. Market Context: The AI Paradox</w:t>
      </w:r>
    </w:p>
    <w:p>
      <w:pPr>
        <w:spacing w:after="160" w:line="276"/>
      </w:pPr>
      <w:r>
        <w:rPr>
          <w:rFonts w:ascii="Arial" w:cs="Arial" w:eastAsia="Arial" w:hAnsi="Arial"/>
          <w:color w:val="333333"/>
          <w:sz w:val="21"/>
          <w:szCs w:val="21"/>
        </w:rPr>
        <w:t xml:space="preserve">The agentic AI market has grown from $5.25B in 2024 to $7.84B in 2025, with projections reaching $52.62B by 2030. But market size obscures the real story: the vast majority of this spend is producing no measurable business impact.</w:t>
      </w:r>
    </w:p>
    <w:p>
      <w:pPr>
        <w:spacing w:after="40"/>
      </w:pPr>
    </w:p>
    <w:p>
      <w:pPr>
        <w:pStyle w:val="Heading2"/>
        <w:spacing w:after="150" w:before="300"/>
      </w:pPr>
      <w:r>
        <w:rPr>
          <w:rFonts w:ascii="Arial" w:cs="Arial" w:eastAsia="Arial" w:hAnsi="Arial"/>
          <w:b/>
          <w:bCs/>
          <w:color w:val="4D9EFF"/>
          <w:sz w:val="26"/>
          <w:szCs w:val="26"/>
        </w:rPr>
        <w:t xml:space="preserve">The Paradox in Numbers</w:t>
      </w:r>
    </w:p>
    <w:p>
      <w:pPr>
        <w:pStyle w:val="ListParagraph"/>
        <w:numPr>
          <w:ilvl w:val="0"/>
          <w:numId w:val="2"/>
        </w:numPr>
        <w:spacing w:after="80" w:line="276"/>
      </w:pPr>
      <w:r>
        <w:rPr>
          <w:rFonts w:ascii="Arial" w:cs="Arial" w:eastAsia="Arial" w:hAnsi="Arial"/>
          <w:b/>
          <w:bCs/>
          <w:color w:val="333333"/>
          <w:sz w:val="21"/>
          <w:szCs w:val="21"/>
        </w:rPr>
        <w:t xml:space="preserve">~80% of companies </w:t>
      </w:r>
      <w:r>
        <w:rPr>
          <w:rFonts w:ascii="Arial" w:cs="Arial" w:eastAsia="Arial" w:hAnsi="Arial"/>
          <w:color w:val="333333"/>
          <w:sz w:val="21"/>
          <w:szCs w:val="21"/>
        </w:rPr>
        <w:t xml:space="preserve">have deployed gen AI in some form.</w:t>
      </w:r>
    </w:p>
    <w:p>
      <w:pPr>
        <w:pStyle w:val="ListParagraph"/>
        <w:numPr>
          <w:ilvl w:val="0"/>
          <w:numId w:val="2"/>
        </w:numPr>
        <w:spacing w:after="80" w:line="276"/>
      </w:pPr>
      <w:r>
        <w:rPr>
          <w:rFonts w:ascii="Arial" w:cs="Arial" w:eastAsia="Arial" w:hAnsi="Arial"/>
          <w:b/>
          <w:bCs/>
          <w:color w:val="333333"/>
          <w:sz w:val="21"/>
          <w:szCs w:val="21"/>
        </w:rPr>
        <w:t xml:space="preserve">~80% of those same companies </w:t>
      </w:r>
      <w:r>
        <w:rPr>
          <w:rFonts w:ascii="Arial" w:cs="Arial" w:eastAsia="Arial" w:hAnsi="Arial"/>
          <w:color w:val="333333"/>
          <w:sz w:val="21"/>
          <w:szCs w:val="21"/>
        </w:rPr>
        <w:t xml:space="preserve">report no material impact on earnings.</w:t>
      </w:r>
    </w:p>
    <w:p>
      <w:pPr>
        <w:pStyle w:val="ListParagraph"/>
        <w:numPr>
          <w:ilvl w:val="0"/>
          <w:numId w:val="2"/>
        </w:numPr>
        <w:spacing w:after="80" w:line="276"/>
      </w:pPr>
      <w:r>
        <w:rPr>
          <w:rFonts w:ascii="Arial" w:cs="Arial" w:eastAsia="Arial" w:hAnsi="Arial"/>
          <w:b/>
          <w:bCs/>
          <w:color w:val="333333"/>
          <w:sz w:val="21"/>
          <w:szCs w:val="21"/>
        </w:rPr>
        <w:t xml:space="preserve">Only 21% </w:t>
      </w:r>
      <w:r>
        <w:rPr>
          <w:rFonts w:ascii="Arial" w:cs="Arial" w:eastAsia="Arial" w:hAnsi="Arial"/>
          <w:color w:val="333333"/>
          <w:sz w:val="21"/>
          <w:szCs w:val="21"/>
        </w:rPr>
        <w:t xml:space="preserve">have fundamentally redesigned any workflow around AI.</w:t>
      </w:r>
    </w:p>
    <w:p>
      <w:pPr>
        <w:pStyle w:val="ListParagraph"/>
        <w:numPr>
          <w:ilvl w:val="0"/>
          <w:numId w:val="2"/>
        </w:numPr>
        <w:spacing w:after="80" w:line="276"/>
      </w:pPr>
      <w:r>
        <w:rPr>
          <w:rFonts w:ascii="Arial" w:cs="Arial" w:eastAsia="Arial" w:hAnsi="Arial"/>
          <w:b/>
          <w:bCs/>
          <w:color w:val="333333"/>
          <w:sz w:val="21"/>
          <w:szCs w:val="21"/>
        </w:rPr>
        <w:t xml:space="preserve">The top-performing companies </w:t>
      </w:r>
      <w:r>
        <w:rPr>
          <w:rFonts w:ascii="Arial" w:cs="Arial" w:eastAsia="Arial" w:hAnsi="Arial"/>
          <w:color w:val="333333"/>
          <w:sz w:val="21"/>
          <w:szCs w:val="21"/>
        </w:rPr>
        <w:t xml:space="preserve">are 3x more likely to have done fundamental workflow redesign than the rest.</w:t>
      </w:r>
    </w:p>
    <w:p>
      <w:pPr>
        <w:pStyle w:val="ListParagraph"/>
        <w:numPr>
          <w:ilvl w:val="0"/>
          <w:numId w:val="2"/>
        </w:numPr>
        <w:spacing w:after="80" w:line="276"/>
      </w:pPr>
      <w:r>
        <w:rPr>
          <w:rFonts w:ascii="Arial" w:cs="Arial" w:eastAsia="Arial" w:hAnsi="Arial"/>
          <w:b/>
          <w:bCs/>
          <w:color w:val="333333"/>
          <w:sz w:val="21"/>
          <w:szCs w:val="21"/>
        </w:rPr>
        <w:t xml:space="preserve">Those that do redesign </w:t>
      </w:r>
      <w:r>
        <w:rPr>
          <w:rFonts w:ascii="Arial" w:cs="Arial" w:eastAsia="Arial" w:hAnsi="Arial"/>
          <w:color w:val="333333"/>
          <w:sz w:val="21"/>
          <w:szCs w:val="21"/>
        </w:rPr>
        <w:t xml:space="preserve">report 20–40% reductions in operating costs and 12–14 point increases in EBITDA margins (McKinsey).</w:t>
      </w:r>
    </w:p>
    <w:p>
      <w:pPr>
        <w:spacing w:after="40"/>
      </w:pPr>
    </w:p>
    <w:p>
      <w:pPr>
        <w:pStyle w:val="Heading2"/>
        <w:spacing w:after="150" w:before="300"/>
      </w:pPr>
      <w:r>
        <w:rPr>
          <w:rFonts w:ascii="Arial" w:cs="Arial" w:eastAsia="Arial" w:hAnsi="Arial"/>
          <w:b/>
          <w:bCs/>
          <w:color w:val="4D9EFF"/>
          <w:sz w:val="26"/>
          <w:szCs w:val="26"/>
        </w:rPr>
        <w:t xml:space="preserve">Root Cause: Bolted-On vs. Built-In</w:t>
      </w:r>
    </w:p>
    <w:p>
      <w:pPr>
        <w:spacing w:after="160" w:line="276"/>
      </w:pPr>
      <w:r>
        <w:rPr>
          <w:rFonts w:ascii="Arial" w:cs="Arial" w:eastAsia="Arial" w:hAnsi="Arial"/>
          <w:color w:val="333333"/>
          <w:sz w:val="21"/>
          <w:szCs w:val="21"/>
        </w:rPr>
        <w:t xml:space="preserve">McKinsey identifies an imbalance between “horizontal” use cases (copilots, chatbots—widely deployed but diffuse in impact) and “vertical” use cases (function-specific, workflow-redesigned—rarely escaping pilot). The horizontal stuff is easy to deploy and hard to measure. The vertical stuff requires rebuilding how work flows, which is hard to do and easy to measure.</w:t>
      </w:r>
    </w:p>
    <w:p>
      <w:pPr>
        <w:spacing w:after="160" w:line="276"/>
      </w:pPr>
      <w:r>
        <w:rPr>
          <w:rFonts w:ascii="Arial" w:cs="Arial" w:eastAsia="Arial" w:hAnsi="Arial"/>
          <w:color w:val="333333"/>
          <w:sz w:val="21"/>
          <w:szCs w:val="21"/>
        </w:rPr>
        <w:t xml:space="preserve">Deloitte’s framing reinforces this: technology delivers only about 20% of an initiative’s value; the other 80% comes from redesigning work so agents can handle routine tasks and people can focus on what drives impact.</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D9EFF" w:sz="6"/>
              <w:left w:val="none" w:color="FFFFFF" w:sz="0"/>
              <w:bottom w:val="none" w:color="FFFFFF" w:sz="0"/>
              <w:right w:val="none" w:color="FFFFFF" w:sz="0"/>
            </w:tcBorders>
            <w:shd w:fill="EBF3FF" w:val="clear"/>
            <w:tcMar>
              <w:top w:type="dxa" w:w="160"/>
              <w:left w:type="dxa" w:w="200"/>
              <w:bottom w:type="dxa" w:w="160"/>
              <w:right w:type="dxa" w:w="200"/>
            </w:tcMar>
          </w:tcPr>
          <w:p>
            <w:pPr>
              <w:spacing w:after="80"/>
            </w:pPr>
            <w:r>
              <w:rPr>
                <w:rFonts w:ascii="Arial" w:cs="Arial" w:eastAsia="Arial" w:hAnsi="Arial"/>
                <w:b/>
                <w:bCs/>
                <w:color w:val="4D9EFF"/>
                <w:sz w:val="21"/>
                <w:szCs w:val="21"/>
              </w:rPr>
              <w:t xml:space="preserve">Umbra Studio’s Entry Point</w:t>
            </w:r>
          </w:p>
          <w:p>
            <w:pPr>
              <w:spacing w:after="0"/>
            </w:pPr>
            <w:r>
              <w:rPr>
                <w:rFonts w:ascii="Arial" w:cs="Arial" w:eastAsia="Arial" w:hAnsi="Arial"/>
                <w:color w:val="444444"/>
                <w:sz w:val="20"/>
                <w:szCs w:val="20"/>
              </w:rPr>
              <w:t xml:space="preserve">This is the exact seam Umbra Studio is designed to exploit. The market doesn’t need another firm that can deploy an agent. It needs a firm that can redesign a workflow so the agent actually produces measurable business outcomes—and then ship the working system, not a deck about the working system.</w:t>
            </w:r>
          </w:p>
        </w:tc>
      </w:tr>
    </w:tbl>
    <w:p>
      <w:pPr>
        <w:spacing w:after="80"/>
      </w:pPr>
    </w:p>
    <w:p>
      <w:r>
        <w:br w:type="page"/>
      </w:r>
    </w:p>
    <w:p>
      <w:pPr>
        <w:pStyle w:val="Heading1"/>
        <w:spacing w:after="200" w:before="400"/>
      </w:pPr>
      <w:r>
        <w:rPr>
          <w:rFonts w:ascii="Arial" w:cs="Arial" w:eastAsia="Arial" w:hAnsi="Arial"/>
          <w:b/>
          <w:bCs/>
          <w:color w:val="040608"/>
          <w:sz w:val="32"/>
          <w:szCs w:val="32"/>
        </w:rPr>
        <w:t xml:space="preserve">3. Competitive Landscape</w:t>
      </w:r>
    </w:p>
    <w:p>
      <w:pPr>
        <w:pStyle w:val="Heading2"/>
        <w:spacing w:after="150" w:before="300"/>
      </w:pPr>
      <w:r>
        <w:rPr>
          <w:rFonts w:ascii="Arial" w:cs="Arial" w:eastAsia="Arial" w:hAnsi="Arial"/>
          <w:b/>
          <w:bCs/>
          <w:color w:val="4D9EFF"/>
          <w:sz w:val="26"/>
          <w:szCs w:val="26"/>
        </w:rPr>
        <w:t xml:space="preserve">3.1 Big 4 / Management Consulting</w:t>
      </w:r>
    </w:p>
    <w:p>
      <w:pPr>
        <w:spacing w:after="160" w:line="276"/>
      </w:pPr>
      <w:r>
        <w:rPr>
          <w:rFonts w:ascii="Arial" w:cs="Arial" w:eastAsia="Arial" w:hAnsi="Arial"/>
          <w:color w:val="333333"/>
          <w:sz w:val="21"/>
          <w:szCs w:val="21"/>
        </w:rPr>
        <w:t xml:space="preserve">The large firms have branded frameworks and enterprise reach, but their models are advisory-heavy and slow to ship working systems.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Firm</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Framework</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Approach</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Weakness</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McKinsey (QuantumBlack)</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"Rewired" — 6 dimensions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Strategy-led, research-backed. 200+ at-scale transformations studied.</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Advisory-first. Implementation often outsourced or left to client.</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BCG (BCG X)</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Deploy-Reshape-Invent</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Bridges strategy and build. Cross-functional teams.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Enterprise-only. Pricing starts high; 6+ month timelines.</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Deloitte</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"Age of With" framework</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Strategy + hands-on implementation in regulated environments.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Process-heavy. Slow to ship production systems.</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Bain</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Agile transformation sprints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Emphasizes process redesign and data environment cleanup.</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Traditional consulting model. Less technical depth.</w:t>
            </w:r>
          </w:p>
        </w:tc>
      </w:tr>
    </w:tbl>
    <w:p>
      <w:pPr>
        <w:spacing w:after="40"/>
      </w:pPr>
    </w:p>
    <w:p>
      <w:pPr>
        <w:spacing w:after="100" w:before="200"/>
      </w:pPr>
      <w:r>
        <w:rPr>
          <w:rFonts w:ascii="Arial" w:cs="Arial" w:eastAsia="Arial" w:hAnsi="Arial"/>
          <w:b/>
          <w:bCs/>
          <w:color w:val="040608"/>
          <w:sz w:val="22"/>
          <w:szCs w:val="22"/>
        </w:rPr>
        <w:t xml:space="preserve">What They Get Right</w:t>
      </w:r>
    </w:p>
    <w:p>
      <w:pPr>
        <w:pStyle w:val="ListParagraph"/>
        <w:numPr>
          <w:ilvl w:val="0"/>
          <w:numId w:val="2"/>
        </w:numPr>
        <w:spacing w:after="80" w:line="276"/>
      </w:pPr>
      <w:r>
        <w:rPr>
          <w:rFonts w:ascii="Arial" w:cs="Arial" w:eastAsia="Arial" w:hAnsi="Arial"/>
          <w:color w:val="333333"/>
          <w:sz w:val="21"/>
          <w:szCs w:val="21"/>
        </w:rPr>
        <w:t xml:space="preserve">Branded, repeatable frameworks that clients can reference internally.</w:t>
      </w:r>
    </w:p>
    <w:p>
      <w:pPr>
        <w:pStyle w:val="ListParagraph"/>
        <w:numPr>
          <w:ilvl w:val="0"/>
          <w:numId w:val="2"/>
        </w:numPr>
        <w:spacing w:after="80" w:line="276"/>
      </w:pPr>
      <w:r>
        <w:rPr>
          <w:rFonts w:ascii="Arial" w:cs="Arial" w:eastAsia="Arial" w:hAnsi="Arial"/>
          <w:color w:val="333333"/>
          <w:sz w:val="21"/>
          <w:szCs w:val="21"/>
        </w:rPr>
        <w:t xml:space="preserve">Deep research backing (McKinsey’s data on the workflow redesign → EBIT link is genuinely useful).</w:t>
      </w:r>
    </w:p>
    <w:p>
      <w:pPr>
        <w:pStyle w:val="ListParagraph"/>
        <w:numPr>
          <w:ilvl w:val="0"/>
          <w:numId w:val="2"/>
        </w:numPr>
        <w:spacing w:after="80" w:line="276"/>
      </w:pPr>
      <w:r>
        <w:rPr>
          <w:rFonts w:ascii="Arial" w:cs="Arial" w:eastAsia="Arial" w:hAnsi="Arial"/>
          <w:color w:val="333333"/>
          <w:sz w:val="21"/>
          <w:szCs w:val="21"/>
        </w:rPr>
        <w:t xml:space="preserve">Change management built into the engagement, not bolted on after.</w:t>
      </w:r>
    </w:p>
    <w:p>
      <w:pPr>
        <w:spacing w:after="40"/>
      </w:pPr>
    </w:p>
    <w:p>
      <w:pPr>
        <w:spacing w:after="100" w:before="200"/>
      </w:pPr>
      <w:r>
        <w:rPr>
          <w:rFonts w:ascii="Arial" w:cs="Arial" w:eastAsia="Arial" w:hAnsi="Arial"/>
          <w:b/>
          <w:bCs/>
          <w:color w:val="040608"/>
          <w:sz w:val="22"/>
          <w:szCs w:val="22"/>
        </w:rPr>
        <w:t xml:space="preserve">Where They Fall Short</w:t>
      </w:r>
    </w:p>
    <w:p>
      <w:pPr>
        <w:pStyle w:val="ListParagraph"/>
        <w:numPr>
          <w:ilvl w:val="0"/>
          <w:numId w:val="2"/>
        </w:numPr>
        <w:spacing w:after="80" w:line="276"/>
      </w:pPr>
      <w:r>
        <w:rPr>
          <w:rFonts w:ascii="Arial" w:cs="Arial" w:eastAsia="Arial" w:hAnsi="Arial"/>
          <w:color w:val="333333"/>
          <w:sz w:val="21"/>
          <w:szCs w:val="21"/>
        </w:rPr>
        <w:t xml:space="preserve">Advisory-heavy: most engagements produce strategy documents, not working systems.</w:t>
      </w:r>
    </w:p>
    <w:p>
      <w:pPr>
        <w:pStyle w:val="ListParagraph"/>
        <w:numPr>
          <w:ilvl w:val="0"/>
          <w:numId w:val="2"/>
        </w:numPr>
        <w:spacing w:after="80" w:line="276"/>
      </w:pPr>
      <w:r>
        <w:rPr>
          <w:rFonts w:ascii="Arial" w:cs="Arial" w:eastAsia="Arial" w:hAnsi="Arial"/>
          <w:color w:val="333333"/>
          <w:sz w:val="21"/>
          <w:szCs w:val="21"/>
        </w:rPr>
        <w:t xml:space="preserve">Long timelines (12–24 weeks for build/deploy phase alone at Hackett Group).</w:t>
      </w:r>
    </w:p>
    <w:p>
      <w:pPr>
        <w:pStyle w:val="ListParagraph"/>
        <w:numPr>
          <w:ilvl w:val="0"/>
          <w:numId w:val="2"/>
        </w:numPr>
        <w:spacing w:after="80" w:line="276"/>
      </w:pPr>
      <w:r>
        <w:rPr>
          <w:rFonts w:ascii="Arial" w:cs="Arial" w:eastAsia="Arial" w:hAnsi="Arial"/>
          <w:color w:val="333333"/>
          <w:sz w:val="21"/>
          <w:szCs w:val="21"/>
        </w:rPr>
        <w:t xml:space="preserve">No dogfooding—none of these firms run their own agentic operations at scale.</w:t>
      </w:r>
    </w:p>
    <w:p>
      <w:pPr>
        <w:pStyle w:val="ListParagraph"/>
        <w:numPr>
          <w:ilvl w:val="0"/>
          <w:numId w:val="2"/>
        </w:numPr>
        <w:spacing w:after="80" w:line="276"/>
      </w:pPr>
      <w:r>
        <w:rPr>
          <w:rFonts w:ascii="Arial" w:cs="Arial" w:eastAsia="Arial" w:hAnsi="Arial"/>
          <w:color w:val="333333"/>
          <w:sz w:val="21"/>
          <w:szCs w:val="21"/>
        </w:rPr>
        <w:t xml:space="preserve">Pricing is opaque and hourly/retainer-based, misaligned with outcome-seeking buyers.</w:t>
      </w:r>
    </w:p>
    <w:p>
      <w:pPr>
        <w:spacing w:after="80"/>
      </w:pPr>
    </w:p>
    <w:p>
      <w:pPr>
        <w:pStyle w:val="Heading2"/>
        <w:spacing w:after="150" w:before="300"/>
      </w:pPr>
      <w:r>
        <w:rPr>
          <w:rFonts w:ascii="Arial" w:cs="Arial" w:eastAsia="Arial" w:hAnsi="Arial"/>
          <w:b/>
          <w:bCs/>
          <w:color w:val="4D9EFF"/>
          <w:sz w:val="26"/>
          <w:szCs w:val="26"/>
        </w:rPr>
        <w:t xml:space="preserve">3.2 Implementation-Focused Firms</w:t>
      </w:r>
    </w:p>
    <w:p>
      <w:pPr>
        <w:spacing w:after="160" w:line="276"/>
      </w:pPr>
      <w:r>
        <w:rPr>
          <w:rFonts w:ascii="Arial" w:cs="Arial" w:eastAsia="Arial" w:hAnsi="Arial"/>
          <w:color w:val="333333"/>
          <w:sz w:val="21"/>
          <w:szCs w:val="21"/>
        </w:rPr>
        <w:t xml:space="preserve">These firms position themselves as “beyond strategy decks”—they actually build and deploy. Closer to Umbra’s positioning but with key differences.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Firm</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Positioning</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Engagement Model</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Differentiator</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Thoughtworks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Engineering-quality AI delivery</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Embedded teams, sprint-based</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Maintainable solutions over short-term pilots</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Vstorm</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Applied agentic AI for mid-market</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TriStorm: 3-phase (Align → Prove → Augment)</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SMB-focused, no lock-in, structured knowledge transfer</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Crowe LLP</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transformation sprints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2-week quick-start + 4–6 week sprint</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Fast time-to-value for mid-market</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Mojotech</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Product engineering consultancy</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Collaborative delivery sprints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AI built into applications, not standalone</w:t>
            </w:r>
          </w:p>
        </w:tc>
      </w:tr>
    </w:tbl>
    <w:p>
      <w:pPr>
        <w:spacing w:after="40"/>
      </w:pPr>
    </w:p>
    <w:p>
      <w:pPr>
        <w:spacing w:after="100" w:before="200"/>
      </w:pPr>
      <w:r>
        <w:rPr>
          <w:rFonts w:ascii="Arial" w:cs="Arial" w:eastAsia="Arial" w:hAnsi="Arial"/>
          <w:b/>
          <w:bCs/>
          <w:color w:val="040608"/>
          <w:sz w:val="22"/>
          <w:szCs w:val="22"/>
        </w:rPr>
        <w:t xml:space="preserve">What They Get Right</w:t>
      </w:r>
    </w:p>
    <w:p>
      <w:pPr>
        <w:pStyle w:val="ListParagraph"/>
        <w:numPr>
          <w:ilvl w:val="0"/>
          <w:numId w:val="2"/>
        </w:numPr>
        <w:spacing w:after="80" w:line="276"/>
      </w:pPr>
      <w:r>
        <w:rPr>
          <w:rFonts w:ascii="Arial" w:cs="Arial" w:eastAsia="Arial" w:hAnsi="Arial"/>
          <w:color w:val="333333"/>
          <w:sz w:val="21"/>
          <w:szCs w:val="21"/>
        </w:rPr>
        <w:t xml:space="preserve">Sprint-based delivery with defined timelines (weeks, not months).</w:t>
      </w:r>
    </w:p>
    <w:p>
      <w:pPr>
        <w:pStyle w:val="ListParagraph"/>
        <w:numPr>
          <w:ilvl w:val="0"/>
          <w:numId w:val="2"/>
        </w:numPr>
        <w:spacing w:after="80" w:line="276"/>
      </w:pPr>
      <w:r>
        <w:rPr>
          <w:rFonts w:ascii="Arial" w:cs="Arial" w:eastAsia="Arial" w:hAnsi="Arial"/>
          <w:color w:val="333333"/>
          <w:sz w:val="21"/>
          <w:szCs w:val="21"/>
        </w:rPr>
        <w:t xml:space="preserve">Knowledge transfer and client ownership as explicit deliverables.</w:t>
      </w:r>
    </w:p>
    <w:p>
      <w:pPr>
        <w:pStyle w:val="ListParagraph"/>
        <w:numPr>
          <w:ilvl w:val="0"/>
          <w:numId w:val="2"/>
        </w:numPr>
        <w:spacing w:after="80" w:line="276"/>
      </w:pPr>
      <w:r>
        <w:rPr>
          <w:rFonts w:ascii="Arial" w:cs="Arial" w:eastAsia="Arial" w:hAnsi="Arial"/>
          <w:color w:val="333333"/>
          <w:sz w:val="21"/>
          <w:szCs w:val="21"/>
        </w:rPr>
        <w:t xml:space="preserve">Vstorm’s TriStorm methodology is the closest analog to the Lighthouse Sprint structure.</w:t>
      </w:r>
    </w:p>
    <w:p>
      <w:pPr>
        <w:spacing w:after="40"/>
      </w:pPr>
    </w:p>
    <w:p>
      <w:pPr>
        <w:spacing w:after="100" w:before="200"/>
      </w:pPr>
      <w:r>
        <w:rPr>
          <w:rFonts w:ascii="Arial" w:cs="Arial" w:eastAsia="Arial" w:hAnsi="Arial"/>
          <w:b/>
          <w:bCs/>
          <w:color w:val="040608"/>
          <w:sz w:val="22"/>
          <w:szCs w:val="22"/>
        </w:rPr>
        <w:t xml:space="preserve">Where They Fall Short</w:t>
      </w:r>
    </w:p>
    <w:p>
      <w:pPr>
        <w:pStyle w:val="ListParagraph"/>
        <w:numPr>
          <w:ilvl w:val="0"/>
          <w:numId w:val="2"/>
        </w:numPr>
        <w:spacing w:after="80" w:line="276"/>
      </w:pPr>
      <w:r>
        <w:rPr>
          <w:rFonts w:ascii="Arial" w:cs="Arial" w:eastAsia="Arial" w:hAnsi="Arial"/>
          <w:color w:val="333333"/>
          <w:sz w:val="21"/>
          <w:szCs w:val="21"/>
        </w:rPr>
        <w:t xml:space="preserve">No proprietary workflow patterns—they build bespoke for every engagement.</w:t>
      </w:r>
    </w:p>
    <w:p>
      <w:pPr>
        <w:pStyle w:val="ListParagraph"/>
        <w:numPr>
          <w:ilvl w:val="0"/>
          <w:numId w:val="2"/>
        </w:numPr>
        <w:spacing w:after="80" w:line="276"/>
      </w:pPr>
      <w:r>
        <w:rPr>
          <w:rFonts w:ascii="Arial" w:cs="Arial" w:eastAsia="Arial" w:hAnsi="Arial"/>
          <w:color w:val="333333"/>
          <w:sz w:val="21"/>
          <w:szCs w:val="21"/>
        </w:rPr>
        <w:t xml:space="preserve">No dogfooding. None run their own agentic businesses.</w:t>
      </w:r>
    </w:p>
    <w:p>
      <w:pPr>
        <w:pStyle w:val="ListParagraph"/>
        <w:numPr>
          <w:ilvl w:val="0"/>
          <w:numId w:val="2"/>
        </w:numPr>
        <w:spacing w:after="80" w:line="276"/>
      </w:pPr>
      <w:r>
        <w:rPr>
          <w:rFonts w:ascii="Arial" w:cs="Arial" w:eastAsia="Arial" w:hAnsi="Arial"/>
          <w:color w:val="333333"/>
          <w:sz w:val="21"/>
          <w:szCs w:val="21"/>
        </w:rPr>
        <w:t xml:space="preserve">Governance is mentioned but not shipped as a production-ready component.</w:t>
      </w:r>
    </w:p>
    <w:p>
      <w:pPr>
        <w:pStyle w:val="ListParagraph"/>
        <w:numPr>
          <w:ilvl w:val="0"/>
          <w:numId w:val="2"/>
        </w:numPr>
        <w:spacing w:after="80" w:line="276"/>
      </w:pPr>
      <w:r>
        <w:rPr>
          <w:rFonts w:ascii="Arial" w:cs="Arial" w:eastAsia="Arial" w:hAnsi="Arial"/>
          <w:color w:val="333333"/>
          <w:sz w:val="21"/>
          <w:szCs w:val="21"/>
        </w:rPr>
        <w:t xml:space="preserve">Pricing still largely hourly ($150–300/hr for boutiques vs. $300–600/hr for Big 4).</w:t>
      </w:r>
    </w:p>
    <w:p>
      <w:pPr>
        <w:spacing w:after="80"/>
      </w:pPr>
    </w:p>
    <w:p>
      <w:pPr>
        <w:pStyle w:val="Heading2"/>
        <w:spacing w:after="150" w:before="300"/>
      </w:pPr>
      <w:r>
        <w:rPr>
          <w:rFonts w:ascii="Arial" w:cs="Arial" w:eastAsia="Arial" w:hAnsi="Arial"/>
          <w:b/>
          <w:bCs/>
          <w:color w:val="4D9EFF"/>
          <w:sz w:val="26"/>
          <w:szCs w:val="26"/>
        </w:rPr>
        <w:t xml:space="preserve">3.3 Agentic AI Platforms &amp; Startups</w:t>
      </w:r>
    </w:p>
    <w:p>
      <w:pPr>
        <w:spacing w:after="160" w:line="276"/>
      </w:pPr>
      <w:r>
        <w:rPr>
          <w:rFonts w:ascii="Arial" w:cs="Arial" w:eastAsia="Arial" w:hAnsi="Arial"/>
          <w:color w:val="333333"/>
          <w:sz w:val="21"/>
          <w:szCs w:val="21"/>
        </w:rPr>
        <w:t xml:space="preserve">These are technology-first companies building agent infrastructure and tooling. They’re not consulting firms, but they’re shaping buyer expectations.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Company</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Focus</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Model</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Relevance to Umbra</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Moveworks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Enterprise customer service agents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Outcomes-based pricing (pay per completion)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Outcome pricing model worth studying</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OneReach.ai</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Agentic orchestration at scale</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Platform + professional services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Workflow orchestration patterns applicable</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Credo AI</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governance platform</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SaaS + advisory</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Governance tooling Umbra could reference/partner</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Dextra Labs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LLM systems, RAG, multi-agent</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Project-based consulting</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Technical competitor in the build layer</w:t>
            </w:r>
          </w:p>
        </w:tc>
      </w:tr>
    </w:tbl>
    <w:p>
      <w:pPr>
        <w:spacing w:after="40"/>
      </w:pPr>
    </w:p>
    <w:p>
      <w:pPr>
        <w:spacing w:after="100" w:before="200"/>
      </w:pPr>
      <w:r>
        <w:rPr>
          <w:rFonts w:ascii="Arial" w:cs="Arial" w:eastAsia="Arial" w:hAnsi="Arial"/>
          <w:b/>
          <w:bCs/>
          <w:color w:val="040608"/>
          <w:sz w:val="22"/>
          <w:szCs w:val="22"/>
        </w:rPr>
        <w:t xml:space="preserve">What They Get Right</w:t>
      </w:r>
    </w:p>
    <w:p>
      <w:pPr>
        <w:pStyle w:val="ListParagraph"/>
        <w:numPr>
          <w:ilvl w:val="0"/>
          <w:numId w:val="2"/>
        </w:numPr>
        <w:spacing w:after="80" w:line="276"/>
      </w:pPr>
      <w:r>
        <w:rPr>
          <w:rFonts w:ascii="Arial" w:cs="Arial" w:eastAsia="Arial" w:hAnsi="Arial"/>
          <w:color w:val="333333"/>
          <w:sz w:val="21"/>
          <w:szCs w:val="21"/>
        </w:rPr>
        <w:t xml:space="preserve">Moveworks’ outcome-based pricing (pay for completed work) is where the market is heading.</w:t>
      </w:r>
    </w:p>
    <w:p>
      <w:pPr>
        <w:pStyle w:val="ListParagraph"/>
        <w:numPr>
          <w:ilvl w:val="0"/>
          <w:numId w:val="2"/>
        </w:numPr>
        <w:spacing w:after="80" w:line="276"/>
      </w:pPr>
      <w:r>
        <w:rPr>
          <w:rFonts w:ascii="Arial" w:cs="Arial" w:eastAsia="Arial" w:hAnsi="Arial"/>
          <w:color w:val="333333"/>
          <w:sz w:val="21"/>
          <w:szCs w:val="21"/>
        </w:rPr>
        <w:t xml:space="preserve">Credo AI has made governance a product, not a slide—NIST-aligned frameworks, automated monitoring.</w:t>
      </w:r>
    </w:p>
    <w:p>
      <w:pPr>
        <w:pStyle w:val="ListParagraph"/>
        <w:numPr>
          <w:ilvl w:val="0"/>
          <w:numId w:val="2"/>
        </w:numPr>
        <w:spacing w:after="80" w:line="276"/>
      </w:pPr>
      <w:r>
        <w:rPr>
          <w:rFonts w:ascii="Arial" w:cs="Arial" w:eastAsia="Arial" w:hAnsi="Arial"/>
          <w:color w:val="333333"/>
          <w:sz w:val="21"/>
          <w:szCs w:val="21"/>
        </w:rPr>
        <w:t xml:space="preserve">Platform companies are setting buyer expectations for speed and measurability.</w:t>
      </w:r>
    </w:p>
    <w:p>
      <w:pPr>
        <w:spacing w:after="40"/>
      </w:pPr>
    </w:p>
    <w:p>
      <w:pPr>
        <w:spacing w:after="100" w:before="200"/>
      </w:pPr>
      <w:r>
        <w:rPr>
          <w:rFonts w:ascii="Arial" w:cs="Arial" w:eastAsia="Arial" w:hAnsi="Arial"/>
          <w:b/>
          <w:bCs/>
          <w:color w:val="040608"/>
          <w:sz w:val="22"/>
          <w:szCs w:val="22"/>
        </w:rPr>
        <w:t xml:space="preserve">Where They Fall Short</w:t>
      </w:r>
    </w:p>
    <w:p>
      <w:pPr>
        <w:pStyle w:val="ListParagraph"/>
        <w:numPr>
          <w:ilvl w:val="0"/>
          <w:numId w:val="2"/>
        </w:numPr>
        <w:spacing w:after="80" w:line="276"/>
      </w:pPr>
      <w:r>
        <w:rPr>
          <w:rFonts w:ascii="Arial" w:cs="Arial" w:eastAsia="Arial" w:hAnsi="Arial"/>
          <w:color w:val="333333"/>
          <w:sz w:val="21"/>
          <w:szCs w:val="21"/>
        </w:rPr>
        <w:t xml:space="preserve">Technology-first, workflow-second. They sell tools, not redesigned operations.</w:t>
      </w:r>
    </w:p>
    <w:p>
      <w:pPr>
        <w:pStyle w:val="ListParagraph"/>
        <w:numPr>
          <w:ilvl w:val="0"/>
          <w:numId w:val="2"/>
        </w:numPr>
        <w:spacing w:after="80" w:line="276"/>
      </w:pPr>
      <w:r>
        <w:rPr>
          <w:rFonts w:ascii="Arial" w:cs="Arial" w:eastAsia="Arial" w:hAnsi="Arial"/>
          <w:color w:val="333333"/>
          <w:sz w:val="21"/>
          <w:szCs w:val="21"/>
        </w:rPr>
        <w:t xml:space="preserve">No strategic consulting layer—they assume the client knows what workflow to rebuild.</w:t>
      </w:r>
    </w:p>
    <w:p>
      <w:pPr>
        <w:pStyle w:val="ListParagraph"/>
        <w:numPr>
          <w:ilvl w:val="0"/>
          <w:numId w:val="2"/>
        </w:numPr>
        <w:spacing w:after="80" w:line="276"/>
      </w:pPr>
      <w:r>
        <w:rPr>
          <w:rFonts w:ascii="Arial" w:cs="Arial" w:eastAsia="Arial" w:hAnsi="Arial"/>
          <w:color w:val="333333"/>
          <w:sz w:val="21"/>
          <w:szCs w:val="21"/>
        </w:rPr>
        <w:t xml:space="preserve">Most serve enterprise only; mid-market is underserved.</w:t>
      </w:r>
    </w:p>
    <w:p>
      <w:pPr>
        <w:spacing w:after="80"/>
      </w:pPr>
    </w:p>
    <w:p>
      <w:pPr>
        <w:pStyle w:val="Heading2"/>
        <w:spacing w:after="150" w:before="300"/>
      </w:pPr>
      <w:r>
        <w:rPr>
          <w:rFonts w:ascii="Arial" w:cs="Arial" w:eastAsia="Arial" w:hAnsi="Arial"/>
          <w:b/>
          <w:bCs/>
          <w:color w:val="4D9EFF"/>
          <w:sz w:val="26"/>
          <w:szCs w:val="26"/>
        </w:rPr>
        <w:t xml:space="preserve">3.4 Innovation Sprint Firms</w:t>
      </w:r>
    </w:p>
    <w:p>
      <w:pPr>
        <w:spacing w:after="160" w:line="276"/>
      </w:pPr>
      <w:r>
        <w:rPr>
          <w:rFonts w:ascii="Arial" w:cs="Arial" w:eastAsia="Arial" w:hAnsi="Arial"/>
          <w:color w:val="333333"/>
          <w:sz w:val="21"/>
          <w:szCs w:val="21"/>
        </w:rPr>
        <w:t xml:space="preserve">A smaller category of firms running time-boxed design/innovation sprints with AI enhancement.</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Firm</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Sprint Model</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Timeline</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Key Feature</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Vivaldi Group</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Innovation Sprints (4-stage)</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Days to weeks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Design sprint + AI acceleration; prototype + user testing</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Crowe LLP</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AI Quick-Start + Sprint</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2 weeks + 4–6 weeks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Quick assessment → production-ready sprint</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Sage IT</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mAITRYx Accelerator</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6–8 weeks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Working proof of concept with minimal lift</w:t>
            </w:r>
          </w:p>
        </w:tc>
      </w:tr>
    </w:tbl>
    <w:p>
      <w:pPr>
        <w:spacing w:after="40"/>
      </w:pPr>
    </w:p>
    <w:p>
      <w:pPr>
        <w:spacing w:after="160" w:line="276"/>
      </w:pPr>
      <w:r>
        <w:rPr>
          <w:rFonts w:ascii="Arial" w:cs="Arial" w:eastAsia="Arial" w:hAnsi="Arial"/>
          <w:color w:val="333333"/>
          <w:sz w:val="21"/>
          <w:szCs w:val="21"/>
        </w:rPr>
        <w:t xml:space="preserve">These are the closest structural analogs to the Lighthouse Sprint, but none combine the sprint model with workflow-redesign depth, governance delivery, and pattern-library compounding.</w:t>
      </w:r>
    </w:p>
    <w:p>
      <w:pPr>
        <w:spacing w:after="80"/>
      </w:pPr>
    </w:p>
    <w:p>
      <w:r>
        <w:br w:type="page"/>
      </w:r>
    </w:p>
    <w:p>
      <w:pPr>
        <w:pStyle w:val="Heading1"/>
        <w:spacing w:after="200" w:before="400"/>
      </w:pPr>
      <w:r>
        <w:rPr>
          <w:rFonts w:ascii="Arial" w:cs="Arial" w:eastAsia="Arial" w:hAnsi="Arial"/>
          <w:b/>
          <w:bCs/>
          <w:color w:val="040608"/>
          <w:sz w:val="32"/>
          <w:szCs w:val="32"/>
        </w:rPr>
        <w:t xml:space="preserve">4. Pricing Intelligence</w:t>
      </w:r>
    </w:p>
    <w:p>
      <w:pPr>
        <w:pStyle w:val="Heading2"/>
        <w:spacing w:after="150" w:before="300"/>
      </w:pPr>
      <w:r>
        <w:rPr>
          <w:rFonts w:ascii="Arial" w:cs="Arial" w:eastAsia="Arial" w:hAnsi="Arial"/>
          <w:b/>
          <w:bCs/>
          <w:color w:val="4D9EFF"/>
          <w:sz w:val="26"/>
          <w:szCs w:val="26"/>
        </w:rPr>
        <w:t xml:space="preserve">4.1 Market Rate Benchmarks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Tier</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Hourly Rate</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Sprint (2–3 weeks)</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Full Project</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Big 4 / MBB</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$300–600+/hr</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$90K–250K</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$250K–1M+</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Mid-tier firms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$200–400/hr</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$50K–150K</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$100K–500K</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Boutique / specialist</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$150–300/hr</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$25K–90K</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$40K–150K</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Independent consultants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$100–250/hr</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$10K–40K</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$10K–40K</w:t>
            </w:r>
          </w:p>
        </w:tc>
      </w:tr>
    </w:tbl>
    <w:p>
      <w:pPr>
        <w:spacing w:after="40"/>
      </w:pPr>
    </w:p>
    <w:p>
      <w:pPr>
        <w:pStyle w:val="Heading2"/>
        <w:spacing w:after="150" w:before="300"/>
      </w:pPr>
      <w:r>
        <w:rPr>
          <w:rFonts w:ascii="Arial" w:cs="Arial" w:eastAsia="Arial" w:hAnsi="Arial"/>
          <w:b/>
          <w:bCs/>
          <w:color w:val="4D9EFF"/>
          <w:sz w:val="26"/>
          <w:szCs w:val="26"/>
        </w:rPr>
        <w:t xml:space="preserve">4.2 Emerging Pricing Models</w:t>
      </w:r>
    </w:p>
    <w:p>
      <w:pPr>
        <w:pStyle w:val="ListParagraph"/>
        <w:numPr>
          <w:ilvl w:val="0"/>
          <w:numId w:val="2"/>
        </w:numPr>
        <w:spacing w:after="80" w:line="276"/>
      </w:pPr>
      <w:r>
        <w:rPr>
          <w:rFonts w:ascii="Arial" w:cs="Arial" w:eastAsia="Arial" w:hAnsi="Arial"/>
          <w:b/>
          <w:bCs/>
          <w:color w:val="333333"/>
          <w:sz w:val="21"/>
          <w:szCs w:val="21"/>
        </w:rPr>
        <w:t xml:space="preserve">Value-based (10–25% of estimated financial impact): </w:t>
      </w:r>
      <w:r>
        <w:rPr>
          <w:rFonts w:ascii="Arial" w:cs="Arial" w:eastAsia="Arial" w:hAnsi="Arial"/>
          <w:color w:val="333333"/>
          <w:sz w:val="21"/>
          <w:szCs w:val="21"/>
        </w:rPr>
        <w:t xml:space="preserve">73% of buyers prefer this, but only 22% of deals use it. First-mover advantage is real.</w:t>
      </w:r>
    </w:p>
    <w:p>
      <w:pPr>
        <w:pStyle w:val="ListParagraph"/>
        <w:numPr>
          <w:ilvl w:val="0"/>
          <w:numId w:val="2"/>
        </w:numPr>
        <w:spacing w:after="80" w:line="276"/>
      </w:pPr>
      <w:r>
        <w:rPr>
          <w:rFonts w:ascii="Arial" w:cs="Arial" w:eastAsia="Arial" w:hAnsi="Arial"/>
          <w:b/>
          <w:bCs/>
          <w:color w:val="333333"/>
          <w:sz w:val="21"/>
          <w:szCs w:val="21"/>
        </w:rPr>
        <w:t xml:space="preserve">Outcome-based (base + performance kicker): </w:t>
      </w:r>
      <w:r>
        <w:rPr>
          <w:rFonts w:ascii="Arial" w:cs="Arial" w:eastAsia="Arial" w:hAnsi="Arial"/>
          <w:color w:val="333333"/>
          <w:sz w:val="21"/>
          <w:szCs w:val="21"/>
        </w:rPr>
        <w:t xml:space="preserve">Base fee covers 60–70% of engagement cost; remainder tied to metrics. Growing fast in enterprise AI.</w:t>
      </w:r>
    </w:p>
    <w:p>
      <w:pPr>
        <w:pStyle w:val="ListParagraph"/>
        <w:numPr>
          <w:ilvl w:val="0"/>
          <w:numId w:val="2"/>
        </w:numPr>
        <w:spacing w:after="80" w:line="276"/>
      </w:pPr>
      <w:r>
        <w:rPr>
          <w:rFonts w:ascii="Arial" w:cs="Arial" w:eastAsia="Arial" w:hAnsi="Arial"/>
          <w:b/>
          <w:bCs/>
          <w:color w:val="333333"/>
          <w:sz w:val="21"/>
          <w:szCs w:val="21"/>
        </w:rPr>
        <w:t xml:space="preserve">Fixed-fee sprints: </w:t>
      </w:r>
      <w:r>
        <w:rPr>
          <w:rFonts w:ascii="Arial" w:cs="Arial" w:eastAsia="Arial" w:hAnsi="Arial"/>
          <w:color w:val="333333"/>
          <w:sz w:val="21"/>
          <w:szCs w:val="21"/>
        </w:rPr>
        <w:t xml:space="preserve">$25K–90K for 2–3 week engagements. Clean for mid-market procurement—no open-ended POs.</w:t>
      </w:r>
    </w:p>
    <w:p>
      <w:pPr>
        <w:pStyle w:val="ListParagraph"/>
        <w:numPr>
          <w:ilvl w:val="0"/>
          <w:numId w:val="2"/>
        </w:numPr>
        <w:spacing w:after="80" w:line="276"/>
      </w:pPr>
      <w:r>
        <w:rPr>
          <w:rFonts w:ascii="Arial" w:cs="Arial" w:eastAsia="Arial" w:hAnsi="Arial"/>
          <w:b/>
          <w:bCs/>
          <w:color w:val="333333"/>
          <w:sz w:val="21"/>
          <w:szCs w:val="21"/>
        </w:rPr>
        <w:t xml:space="preserve">Consumption-based: </w:t>
      </w:r>
      <w:r>
        <w:rPr>
          <w:rFonts w:ascii="Arial" w:cs="Arial" w:eastAsia="Arial" w:hAnsi="Arial"/>
          <w:color w:val="333333"/>
          <w:sz w:val="21"/>
          <w:szCs w:val="21"/>
        </w:rPr>
        <w:t xml:space="preserve">35% of implementations (up from 18% in 2023). Charges per API call or processing volume.</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D9EFF" w:sz="6"/>
              <w:left w:val="none" w:color="FFFFFF" w:sz="0"/>
              <w:bottom w:val="none" w:color="FFFFFF" w:sz="0"/>
              <w:right w:val="none" w:color="FFFFFF" w:sz="0"/>
            </w:tcBorders>
            <w:shd w:fill="EBF3FF" w:val="clear"/>
            <w:tcMar>
              <w:top w:type="dxa" w:w="160"/>
              <w:left w:type="dxa" w:w="200"/>
              <w:bottom w:type="dxa" w:w="160"/>
              <w:right w:type="dxa" w:w="200"/>
            </w:tcMar>
          </w:tcPr>
          <w:p>
            <w:pPr>
              <w:spacing w:after="80"/>
            </w:pPr>
            <w:r>
              <w:rPr>
                <w:rFonts w:ascii="Arial" w:cs="Arial" w:eastAsia="Arial" w:hAnsi="Arial"/>
                <w:b/>
                <w:bCs/>
                <w:color w:val="4D9EFF"/>
                <w:sz w:val="21"/>
                <w:szCs w:val="21"/>
              </w:rPr>
              <w:t xml:space="preserve">Pricing Implication for Lighthouse Sprint</w:t>
            </w:r>
          </w:p>
          <w:p>
            <w:pPr>
              <w:spacing w:after="0"/>
            </w:pPr>
            <w:r>
              <w:rPr>
                <w:rFonts w:ascii="Arial" w:cs="Arial" w:eastAsia="Arial" w:hAnsi="Arial"/>
                <w:color w:val="444444"/>
                <w:sz w:val="20"/>
                <w:szCs w:val="20"/>
              </w:rPr>
              <w:t xml:space="preserve">A 6–10 week fixed-fee engagement with outcome-tied components sits in a market sweet spot. Boutique sprint pricing ($25K–90K) is the floor; the workflow-redesign depth and production delivery justify pricing in the $75K–200K range, depending on workflow complexity. A discovery-only SKU at $15K–30K would de-risk the buyer’s first decision and create a natural upsell.</w:t>
            </w:r>
          </w:p>
        </w:tc>
      </w:tr>
    </w:tbl>
    <w:p>
      <w:pPr>
        <w:spacing w:after="80"/>
      </w:pPr>
    </w:p>
    <w:p>
      <w:r>
        <w:br w:type="page"/>
      </w:r>
    </w:p>
    <w:p>
      <w:pPr>
        <w:pStyle w:val="Heading1"/>
        <w:spacing w:after="200" w:before="400"/>
      </w:pPr>
      <w:r>
        <w:rPr>
          <w:rFonts w:ascii="Arial" w:cs="Arial" w:eastAsia="Arial" w:hAnsi="Arial"/>
          <w:b/>
          <w:bCs/>
          <w:color w:val="040608"/>
          <w:sz w:val="32"/>
          <w:szCs w:val="32"/>
        </w:rPr>
        <w:t xml:space="preserve">5. Best Practices to Adopt</w:t>
      </w:r>
    </w:p>
    <w:p>
      <w:pPr>
        <w:pStyle w:val="Heading2"/>
        <w:spacing w:after="150" w:before="300"/>
      </w:pPr>
      <w:r>
        <w:rPr>
          <w:rFonts w:ascii="Arial" w:cs="Arial" w:eastAsia="Arial" w:hAnsi="Arial"/>
          <w:b/>
          <w:bCs/>
          <w:color w:val="4D9EFF"/>
          <w:sz w:val="26"/>
          <w:szCs w:val="26"/>
        </w:rPr>
        <w:t xml:space="preserve">5.1 From the Big Firms: Branded Frameworks</w:t>
      </w:r>
    </w:p>
    <w:p>
      <w:pPr>
        <w:spacing w:after="160" w:line="276"/>
      </w:pPr>
      <w:r>
        <w:rPr>
          <w:rFonts w:ascii="Arial" w:cs="Arial" w:eastAsia="Arial" w:hAnsi="Arial"/>
          <w:color w:val="333333"/>
          <w:sz w:val="21"/>
          <w:szCs w:val="21"/>
        </w:rPr>
        <w:t xml:space="preserve">McKinsey’s “Rewired,” BCG’s “Deploy-Reshape-Invent,” Deloitte’s “Age of With”—these names do real work. They give the buyer internal language to sell the engagement upward. They make the methodology feel proprietary even when the underlying ideas are shared.</w:t>
      </w:r>
    </w:p>
    <w:p>
      <w:pPr>
        <w:spacing w:after="40"/>
      </w:pPr>
    </w:p>
    <w:p>
      <w:pPr>
        <w:spacing w:after="100" w:before="200"/>
      </w:pPr>
      <w:r>
        <w:rPr>
          <w:rFonts w:ascii="Arial" w:cs="Arial" w:eastAsia="Arial" w:hAnsi="Arial"/>
          <w:b/>
          <w:bCs/>
          <w:color w:val="040608"/>
          <w:sz w:val="22"/>
          <w:szCs w:val="22"/>
        </w:rPr>
        <w:t xml:space="preserve">Action for Umbra Studio</w:t>
      </w:r>
    </w:p>
    <w:p>
      <w:pPr>
        <w:pStyle w:val="ListParagraph"/>
        <w:numPr>
          <w:ilvl w:val="0"/>
          <w:numId w:val="2"/>
        </w:numPr>
        <w:spacing w:after="80" w:line="276"/>
      </w:pPr>
      <w:r>
        <w:rPr>
          <w:rFonts w:ascii="Arial" w:cs="Arial" w:eastAsia="Arial" w:hAnsi="Arial"/>
          <w:color w:val="333333"/>
          <w:sz w:val="21"/>
          <w:szCs w:val="21"/>
        </w:rPr>
        <w:t xml:space="preserve">The “Lighthouse Sprint” name is strong. Formalize the four stages (Discovery → Redesign → Build &amp; Deploy → Handoff) into a branded visual framework with a name buyers can reference in internal memos.</w:t>
      </w:r>
    </w:p>
    <w:p>
      <w:pPr>
        <w:pStyle w:val="ListParagraph"/>
        <w:numPr>
          <w:ilvl w:val="0"/>
          <w:numId w:val="2"/>
        </w:numPr>
        <w:spacing w:after="80" w:line="276"/>
      </w:pPr>
      <w:r>
        <w:rPr>
          <w:rFonts w:ascii="Arial" w:cs="Arial" w:eastAsia="Arial" w:hAnsi="Arial"/>
          <w:color w:val="333333"/>
          <w:sz w:val="21"/>
          <w:szCs w:val="21"/>
        </w:rPr>
        <w:t xml:space="preserve">Consider naming the overarching methodology—the Lighthouse Sprint is one engagement; the methodology is the system that makes it repeatable.</w:t>
      </w:r>
    </w:p>
    <w:p>
      <w:pPr>
        <w:spacing w:after="80"/>
      </w:pPr>
    </w:p>
    <w:p>
      <w:pPr>
        <w:pStyle w:val="Heading2"/>
        <w:spacing w:after="150" w:before="300"/>
      </w:pPr>
      <w:r>
        <w:rPr>
          <w:rFonts w:ascii="Arial" w:cs="Arial" w:eastAsia="Arial" w:hAnsi="Arial"/>
          <w:b/>
          <w:bCs/>
          <w:color w:val="4D9EFF"/>
          <w:sz w:val="26"/>
          <w:szCs w:val="26"/>
        </w:rPr>
        <w:t xml:space="preserve">5.2 From Vstorm: Structured Knowledge Transfer</w:t>
      </w:r>
    </w:p>
    <w:p>
      <w:pPr>
        <w:spacing w:after="160" w:line="276"/>
      </w:pPr>
      <w:r>
        <w:rPr>
          <w:rFonts w:ascii="Arial" w:cs="Arial" w:eastAsia="Arial" w:hAnsi="Arial"/>
          <w:color w:val="333333"/>
          <w:sz w:val="21"/>
          <w:szCs w:val="21"/>
        </w:rPr>
        <w:t xml:space="preserve">Vstorm’s TriStorm methodology explicitly includes “documentation, runbooks, and technical enablement” as the final phase, so clients own the system without vendor lock-in. This is a trust signal that mid-market buyers respond to—especially those burned by consulting firms that create dependency.</w:t>
      </w:r>
    </w:p>
    <w:p>
      <w:pPr>
        <w:spacing w:after="40"/>
      </w:pPr>
    </w:p>
    <w:p>
      <w:pPr>
        <w:spacing w:after="100" w:before="200"/>
      </w:pPr>
      <w:r>
        <w:rPr>
          <w:rFonts w:ascii="Arial" w:cs="Arial" w:eastAsia="Arial" w:hAnsi="Arial"/>
          <w:b/>
          <w:bCs/>
          <w:color w:val="040608"/>
          <w:sz w:val="22"/>
          <w:szCs w:val="22"/>
        </w:rPr>
        <w:t xml:space="preserve">Action for Umbra Studio</w:t>
      </w:r>
    </w:p>
    <w:p>
      <w:pPr>
        <w:pStyle w:val="ListParagraph"/>
        <w:numPr>
          <w:ilvl w:val="0"/>
          <w:numId w:val="2"/>
        </w:numPr>
        <w:spacing w:after="80" w:line="276"/>
      </w:pPr>
      <w:r>
        <w:rPr>
          <w:rFonts w:ascii="Arial" w:cs="Arial" w:eastAsia="Arial" w:hAnsi="Arial"/>
          <w:color w:val="333333"/>
          <w:sz w:val="21"/>
          <w:szCs w:val="21"/>
        </w:rPr>
        <w:t xml:space="preserve">The Lighthouse Sprint’s Handoff stage already includes this. Make it louder—“you leave with a working system and a team that knows how to run it” should be in every first-touch asset.</w:t>
      </w:r>
    </w:p>
    <w:p>
      <w:pPr>
        <w:pStyle w:val="ListParagraph"/>
        <w:numPr>
          <w:ilvl w:val="0"/>
          <w:numId w:val="2"/>
        </w:numPr>
        <w:spacing w:after="80" w:line="276"/>
      </w:pPr>
      <w:r>
        <w:rPr>
          <w:rFonts w:ascii="Arial" w:cs="Arial" w:eastAsia="Arial" w:hAnsi="Arial"/>
          <w:color w:val="333333"/>
          <w:sz w:val="21"/>
          <w:szCs w:val="21"/>
        </w:rPr>
        <w:t xml:space="preserve">Add explicit deliverables: governance runbook, agent operations manual, reusable component documentation.</w:t>
      </w:r>
    </w:p>
    <w:p>
      <w:pPr>
        <w:spacing w:after="80"/>
      </w:pPr>
    </w:p>
    <w:p>
      <w:pPr>
        <w:pStyle w:val="Heading2"/>
        <w:spacing w:after="150" w:before="300"/>
      </w:pPr>
      <w:r>
        <w:rPr>
          <w:rFonts w:ascii="Arial" w:cs="Arial" w:eastAsia="Arial" w:hAnsi="Arial"/>
          <w:b/>
          <w:bCs/>
          <w:color w:val="4D9EFF"/>
          <w:sz w:val="26"/>
          <w:szCs w:val="26"/>
        </w:rPr>
        <w:t xml:space="preserve">5.3 From Moveworks: Outcome-Based Pricing</w:t>
      </w:r>
    </w:p>
    <w:p>
      <w:pPr>
        <w:spacing w:after="160" w:line="276"/>
      </w:pPr>
      <w:r>
        <w:rPr>
          <w:rFonts w:ascii="Arial" w:cs="Arial" w:eastAsia="Arial" w:hAnsi="Arial"/>
          <w:color w:val="333333"/>
          <w:sz w:val="21"/>
          <w:szCs w:val="21"/>
        </w:rPr>
        <w:t xml:space="preserve">Moveworks charges for completed work, not time spent. This aligns vendor incentives with client outcomes and removes the “what if it doesn’t work” objection before it forms.</w:t>
      </w:r>
    </w:p>
    <w:p>
      <w:pPr>
        <w:spacing w:after="40"/>
      </w:pPr>
    </w:p>
    <w:p>
      <w:pPr>
        <w:spacing w:after="100" w:before="200"/>
      </w:pPr>
      <w:r>
        <w:rPr>
          <w:rFonts w:ascii="Arial" w:cs="Arial" w:eastAsia="Arial" w:hAnsi="Arial"/>
          <w:b/>
          <w:bCs/>
          <w:color w:val="040608"/>
          <w:sz w:val="22"/>
          <w:szCs w:val="22"/>
        </w:rPr>
        <w:t xml:space="preserve">Action for Umbra Studio</w:t>
      </w:r>
    </w:p>
    <w:p>
      <w:pPr>
        <w:pStyle w:val="ListParagraph"/>
        <w:numPr>
          <w:ilvl w:val="0"/>
          <w:numId w:val="2"/>
        </w:numPr>
        <w:spacing w:after="80" w:line="276"/>
      </w:pPr>
      <w:r>
        <w:rPr>
          <w:rFonts w:ascii="Arial" w:cs="Arial" w:eastAsia="Arial" w:hAnsi="Arial"/>
          <w:color w:val="333333"/>
          <w:sz w:val="21"/>
          <w:szCs w:val="21"/>
        </w:rPr>
        <w:t xml:space="preserve">Structure Lighthouse Sprint pricing as fixed base + outcome kicker. Example: $X base covers Discovery through Deploy; a performance component tied to measured deltas (time saved, throughput increase, error rate reduction) adds $Y if targets are hit.</w:t>
      </w:r>
    </w:p>
    <w:p>
      <w:pPr>
        <w:pStyle w:val="ListParagraph"/>
        <w:numPr>
          <w:ilvl w:val="0"/>
          <w:numId w:val="2"/>
        </w:numPr>
        <w:spacing w:after="80" w:line="276"/>
      </w:pPr>
      <w:r>
        <w:rPr>
          <w:rFonts w:ascii="Arial" w:cs="Arial" w:eastAsia="Arial" w:hAnsi="Arial"/>
          <w:color w:val="333333"/>
          <w:sz w:val="21"/>
          <w:szCs w:val="21"/>
        </w:rPr>
        <w:t xml:space="preserve">This makes pricing a competitive weapon, not just a number.</w:t>
      </w:r>
    </w:p>
    <w:p>
      <w:pPr>
        <w:spacing w:after="80"/>
      </w:pPr>
    </w:p>
    <w:p>
      <w:pPr>
        <w:pStyle w:val="Heading2"/>
        <w:spacing w:after="150" w:before="300"/>
      </w:pPr>
      <w:r>
        <w:rPr>
          <w:rFonts w:ascii="Arial" w:cs="Arial" w:eastAsia="Arial" w:hAnsi="Arial"/>
          <w:b/>
          <w:bCs/>
          <w:color w:val="4D9EFF"/>
          <w:sz w:val="26"/>
          <w:szCs w:val="26"/>
        </w:rPr>
        <w:t xml:space="preserve">5.4 From Credo AI: Governance as a Deliverable</w:t>
      </w:r>
    </w:p>
    <w:p>
      <w:pPr>
        <w:spacing w:after="160" w:line="276"/>
      </w:pPr>
      <w:r>
        <w:rPr>
          <w:rFonts w:ascii="Arial" w:cs="Arial" w:eastAsia="Arial" w:hAnsi="Arial"/>
          <w:color w:val="333333"/>
          <w:sz w:val="21"/>
          <w:szCs w:val="21"/>
        </w:rPr>
        <w:t xml:space="preserve">Credo AI has turned AI governance into a product—NIST-aligned frameworks, automated monitoring, escalation paths. Most consulting firms treat governance as a slide in the strategy deck. Credo treats it as infrastructure.</w:t>
      </w:r>
    </w:p>
    <w:p>
      <w:pPr>
        <w:spacing w:after="40"/>
      </w:pPr>
    </w:p>
    <w:p>
      <w:pPr>
        <w:spacing w:after="100" w:before="200"/>
      </w:pPr>
      <w:r>
        <w:rPr>
          <w:rFonts w:ascii="Arial" w:cs="Arial" w:eastAsia="Arial" w:hAnsi="Arial"/>
          <w:b/>
          <w:bCs/>
          <w:color w:val="040608"/>
          <w:sz w:val="22"/>
          <w:szCs w:val="22"/>
        </w:rPr>
        <w:t xml:space="preserve">Action for Umbra Studio</w:t>
      </w:r>
    </w:p>
    <w:p>
      <w:pPr>
        <w:pStyle w:val="ListParagraph"/>
        <w:numPr>
          <w:ilvl w:val="0"/>
          <w:numId w:val="2"/>
        </w:numPr>
        <w:spacing w:after="80" w:line="276"/>
      </w:pPr>
      <w:r>
        <w:rPr>
          <w:rFonts w:ascii="Arial" w:cs="Arial" w:eastAsia="Arial" w:hAnsi="Arial"/>
          <w:color w:val="333333"/>
          <w:sz w:val="21"/>
          <w:szCs w:val="21"/>
        </w:rPr>
        <w:t xml:space="preserve">Ship governance as a production-ready wrapper alongside every Lighthouse Sprint deployment. Not a PDF—a running system with escalation paths, monitoring, and audit trails.</w:t>
      </w:r>
    </w:p>
    <w:p>
      <w:pPr>
        <w:pStyle w:val="ListParagraph"/>
        <w:numPr>
          <w:ilvl w:val="0"/>
          <w:numId w:val="2"/>
        </w:numPr>
        <w:spacing w:after="80" w:line="276"/>
      </w:pPr>
      <w:r>
        <w:rPr>
          <w:rFonts w:ascii="Arial" w:cs="Arial" w:eastAsia="Arial" w:hAnsi="Arial"/>
          <w:color w:val="333333"/>
          <w:sz w:val="21"/>
          <w:szCs w:val="21"/>
        </w:rPr>
        <w:t xml:space="preserve">This is a differentiator no competitor in the boutique/mid-market tier is delivering.</w:t>
      </w:r>
    </w:p>
    <w:p>
      <w:pPr>
        <w:spacing w:after="80"/>
      </w:pPr>
    </w:p>
    <w:p>
      <w:pPr>
        <w:pStyle w:val="Heading2"/>
        <w:spacing w:after="150" w:before="300"/>
      </w:pPr>
      <w:r>
        <w:rPr>
          <w:rFonts w:ascii="Arial" w:cs="Arial" w:eastAsia="Arial" w:hAnsi="Arial"/>
          <w:b/>
          <w:bCs/>
          <w:color w:val="4D9EFF"/>
          <w:sz w:val="26"/>
          <w:szCs w:val="26"/>
        </w:rPr>
        <w:t xml:space="preserve">5.5 From Crowe: Two-Step Entry</w:t>
      </w:r>
    </w:p>
    <w:p>
      <w:pPr>
        <w:spacing w:after="160" w:line="276"/>
      </w:pPr>
      <w:r>
        <w:rPr>
          <w:rFonts w:ascii="Arial" w:cs="Arial" w:eastAsia="Arial" w:hAnsi="Arial"/>
          <w:color w:val="333333"/>
          <w:sz w:val="21"/>
          <w:szCs w:val="21"/>
        </w:rPr>
        <w:t xml:space="preserve">Crowe’s two-week AI Quick-Start assessment feeds into a 4–6 week sprint. The first engagement is low-cost, low-commitment, and high-signal. It qualifies the client and generates the data needed to scope the sprint accurately.</w:t>
      </w:r>
    </w:p>
    <w:p>
      <w:pPr>
        <w:spacing w:after="40"/>
      </w:pPr>
    </w:p>
    <w:p>
      <w:pPr>
        <w:spacing w:after="100" w:before="200"/>
      </w:pPr>
      <w:r>
        <w:rPr>
          <w:rFonts w:ascii="Arial" w:cs="Arial" w:eastAsia="Arial" w:hAnsi="Arial"/>
          <w:b/>
          <w:bCs/>
          <w:color w:val="040608"/>
          <w:sz w:val="22"/>
          <w:szCs w:val="22"/>
        </w:rPr>
        <w:t xml:space="preserve">Action for Umbra Studio</w:t>
      </w:r>
    </w:p>
    <w:p>
      <w:pPr>
        <w:pStyle w:val="ListParagraph"/>
        <w:numPr>
          <w:ilvl w:val="0"/>
          <w:numId w:val="2"/>
        </w:numPr>
        <w:spacing w:after="80" w:line="276"/>
      </w:pPr>
      <w:r>
        <w:rPr>
          <w:rFonts w:ascii="Arial" w:cs="Arial" w:eastAsia="Arial" w:hAnsi="Arial"/>
          <w:color w:val="333333"/>
          <w:sz w:val="21"/>
          <w:szCs w:val="21"/>
        </w:rPr>
        <w:t xml:space="preserve">Formalize a Discovery-Only SKU—a standalone 2-week engagement that delivers a workflow audit, bottleneck quantification, and a Lighthouse Sprint scope document. Price at $15K–30K. Designed to convert into a full sprint.</w:t>
      </w:r>
    </w:p>
    <w:p>
      <w:pPr>
        <w:spacing w:after="80"/>
      </w:pPr>
    </w:p>
    <w:p>
      <w:r>
        <w:br w:type="page"/>
      </w:r>
    </w:p>
    <w:p>
      <w:pPr>
        <w:pStyle w:val="Heading1"/>
        <w:spacing w:after="200" w:before="400"/>
      </w:pPr>
      <w:r>
        <w:rPr>
          <w:rFonts w:ascii="Arial" w:cs="Arial" w:eastAsia="Arial" w:hAnsi="Arial"/>
          <w:b/>
          <w:bCs/>
          <w:color w:val="040608"/>
          <w:sz w:val="32"/>
          <w:szCs w:val="32"/>
        </w:rPr>
        <w:t xml:space="preserve">6. Gaps Umbra Studio Can Exploit</w:t>
      </w:r>
    </w:p>
    <w:p>
      <w:pPr>
        <w:spacing w:after="160" w:line="276"/>
      </w:pPr>
      <w:r>
        <w:rPr>
          <w:rFonts w:ascii="Arial" w:cs="Arial" w:eastAsia="Arial" w:hAnsi="Arial"/>
          <w:color w:val="333333"/>
          <w:sz w:val="21"/>
          <w:szCs w:val="21"/>
        </w:rPr>
        <w:t xml:space="preserve">The competitive analysis reveals five structural gaps that no existing player fills—and that Umbra Studio is uniquely positioned to own.</w:t>
      </w:r>
    </w:p>
    <w:p>
      <w:pPr>
        <w:spacing w:after="40"/>
      </w:pPr>
    </w:p>
    <w:p>
      <w:pPr>
        <w:pStyle w:val="Heading2"/>
        <w:spacing w:after="150" w:before="300"/>
      </w:pPr>
      <w:r>
        <w:rPr>
          <w:rFonts w:ascii="Arial" w:cs="Arial" w:eastAsia="Arial" w:hAnsi="Arial"/>
          <w:b/>
          <w:bCs/>
          <w:color w:val="4D9EFF"/>
          <w:sz w:val="26"/>
          <w:szCs w:val="26"/>
        </w:rPr>
        <w:t xml:space="preserve">Gap 1: The Dogfooding Gap</w:t>
      </w:r>
    </w:p>
    <w:p>
      <w:pPr>
        <w:spacing w:after="160" w:line="276"/>
      </w:pPr>
      <w:r>
        <w:rPr>
          <w:rFonts w:ascii="Arial" w:cs="Arial" w:eastAsia="Arial" w:hAnsi="Arial"/>
          <w:color w:val="333333"/>
          <w:sz w:val="21"/>
          <w:szCs w:val="21"/>
        </w:rPr>
        <w:t xml:space="preserve">No competitor runs its own agentic businesses at commercial scale. Every firm in the landscape sells consulting; none of them operate the thing they’re consulting about. Umbra Group runs four agentic properties (Indietheka, Transit, Orbit, Radiohead Community) with 160+ agent invocations per week on the flagship alone.</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D9EFF" w:sz="6"/>
              <w:left w:val="none" w:color="FFFFFF" w:sz="0"/>
              <w:bottom w:val="none" w:color="FFFFFF" w:sz="0"/>
              <w:right w:val="none" w:color="FFFFFF" w:sz="0"/>
            </w:tcBorders>
            <w:shd w:fill="EBF3FF" w:val="clear"/>
            <w:tcMar>
              <w:top w:type="dxa" w:w="160"/>
              <w:left w:type="dxa" w:w="200"/>
              <w:bottom w:type="dxa" w:w="160"/>
              <w:right w:type="dxa" w:w="200"/>
            </w:tcMar>
          </w:tcPr>
          <w:p>
            <w:pPr>
              <w:spacing w:after="80"/>
            </w:pPr>
            <w:r>
              <w:rPr>
                <w:rFonts w:ascii="Arial" w:cs="Arial" w:eastAsia="Arial" w:hAnsi="Arial"/>
                <w:b/>
                <w:bCs/>
                <w:color w:val="4D9EFF"/>
                <w:sz w:val="21"/>
                <w:szCs w:val="21"/>
              </w:rPr>
              <w:t xml:space="preserve">Why This Matters</w:t>
            </w:r>
          </w:p>
          <w:p>
            <w:pPr>
              <w:spacing w:after="0"/>
            </w:pPr>
            <w:r>
              <w:rPr>
                <w:rFonts w:ascii="Arial" w:cs="Arial" w:eastAsia="Arial" w:hAnsi="Arial"/>
                <w:color w:val="444444"/>
                <w:sz w:val="20"/>
                <w:szCs w:val="20"/>
              </w:rPr>
              <w:t xml:space="preserve">When you show a prospect a case study, they’re seeing someone else’s results. When you show a prospect your own operations dashboard, they’re seeing your skin in the game. That’s a different conversation entirely.</w:t>
            </w:r>
          </w:p>
        </w:tc>
      </w:tr>
    </w:tbl>
    <w:p>
      <w:pPr>
        <w:spacing w:after="80"/>
      </w:pPr>
    </w:p>
    <w:p>
      <w:pPr>
        <w:pStyle w:val="Heading2"/>
        <w:spacing w:after="150" w:before="300"/>
      </w:pPr>
      <w:r>
        <w:rPr>
          <w:rFonts w:ascii="Arial" w:cs="Arial" w:eastAsia="Arial" w:hAnsi="Arial"/>
          <w:b/>
          <w:bCs/>
          <w:color w:val="4D9EFF"/>
          <w:sz w:val="26"/>
          <w:szCs w:val="26"/>
        </w:rPr>
        <w:t xml:space="preserve">Gap 2: The Implementation Gap</w:t>
      </w:r>
    </w:p>
    <w:p>
      <w:pPr>
        <w:spacing w:after="160" w:line="276"/>
      </w:pPr>
      <w:r>
        <w:rPr>
          <w:rFonts w:ascii="Arial" w:cs="Arial" w:eastAsia="Arial" w:hAnsi="Arial"/>
          <w:color w:val="333333"/>
          <w:sz w:val="21"/>
          <w:szCs w:val="21"/>
        </w:rPr>
        <w:t xml:space="preserve">Most firms stop at strategy. The ones that build often stop at MVP/pilot. Very few ship production systems and hand over governance. The Lighthouse Sprint’s four-stage structure (through Handoff) directly addresses this—the engagement doesn’t end until the system is running and the client’s team can operate it.</w:t>
      </w:r>
    </w:p>
    <w:p>
      <w:pPr>
        <w:spacing w:after="80"/>
      </w:pPr>
    </w:p>
    <w:p>
      <w:pPr>
        <w:pStyle w:val="Heading2"/>
        <w:spacing w:after="150" w:before="300"/>
      </w:pPr>
      <w:r>
        <w:rPr>
          <w:rFonts w:ascii="Arial" w:cs="Arial" w:eastAsia="Arial" w:hAnsi="Arial"/>
          <w:b/>
          <w:bCs/>
          <w:color w:val="4D9EFF"/>
          <w:sz w:val="26"/>
          <w:szCs w:val="26"/>
        </w:rPr>
        <w:t xml:space="preserve">Gap 3: The Governance Gap</w:t>
      </w:r>
    </w:p>
    <w:p>
      <w:pPr>
        <w:spacing w:after="160" w:line="276"/>
      </w:pPr>
      <w:r>
        <w:rPr>
          <w:rFonts w:ascii="Arial" w:cs="Arial" w:eastAsia="Arial" w:hAnsi="Arial"/>
          <w:color w:val="333333"/>
          <w:sz w:val="21"/>
          <w:szCs w:val="21"/>
        </w:rPr>
        <w:t xml:space="preserve">Only 33% of organizations report maturity of level 3+ in AI governance. Credo AI has made governance a product for enterprise, but nobody is shipping governance as a built-in deliverable at the mid-market consulting tier. Every Lighthouse Sprint can include a governance wrapper as a standard component—escalation paths, monitoring, audit trails—not as an add-on but as part of the system.</w:t>
      </w:r>
    </w:p>
    <w:p>
      <w:pPr>
        <w:spacing w:after="80"/>
      </w:pPr>
    </w:p>
    <w:p>
      <w:pPr>
        <w:pStyle w:val="Heading2"/>
        <w:spacing w:after="150" w:before="300"/>
      </w:pPr>
      <w:r>
        <w:rPr>
          <w:rFonts w:ascii="Arial" w:cs="Arial" w:eastAsia="Arial" w:hAnsi="Arial"/>
          <w:b/>
          <w:bCs/>
          <w:color w:val="4D9EFF"/>
          <w:sz w:val="26"/>
          <w:szCs w:val="26"/>
        </w:rPr>
        <w:t xml:space="preserve">Gap 4: The Pattern Library Gap</w:t>
      </w:r>
    </w:p>
    <w:p>
      <w:pPr>
        <w:spacing w:after="160" w:line="276"/>
      </w:pPr>
      <w:r>
        <w:rPr>
          <w:rFonts w:ascii="Arial" w:cs="Arial" w:eastAsia="Arial" w:hAnsi="Arial"/>
          <w:color w:val="333333"/>
          <w:sz w:val="21"/>
          <w:szCs w:val="21"/>
        </w:rPr>
        <w:t xml:space="preserve">Consulting firms build bespoke for every engagement. Platform companies sell generic templates. Nobody is building a curated library of production-tested workflow patterns that compound across engagements. Umbra’s four properties are the seed inventory; every client engagement adds to it. This is the compounding asset that makes the business more defensible over time.</w:t>
      </w:r>
    </w:p>
    <w:p>
      <w:pPr>
        <w:spacing w:after="80"/>
      </w:pPr>
    </w:p>
    <w:p>
      <w:pPr>
        <w:pStyle w:val="Heading2"/>
        <w:spacing w:after="150" w:before="300"/>
      </w:pPr>
      <w:r>
        <w:rPr>
          <w:rFonts w:ascii="Arial" w:cs="Arial" w:eastAsia="Arial" w:hAnsi="Arial"/>
          <w:b/>
          <w:bCs/>
          <w:color w:val="4D9EFF"/>
          <w:sz w:val="26"/>
          <w:szCs w:val="26"/>
        </w:rPr>
        <w:t xml:space="preserve">Gap 5: The Mid-Market Gap</w:t>
      </w:r>
    </w:p>
    <w:p>
      <w:pPr>
        <w:spacing w:after="160" w:line="276"/>
      </w:pPr>
      <w:r>
        <w:rPr>
          <w:rFonts w:ascii="Arial" w:cs="Arial" w:eastAsia="Arial" w:hAnsi="Arial"/>
          <w:color w:val="333333"/>
          <w:sz w:val="21"/>
          <w:szCs w:val="21"/>
        </w:rPr>
        <w:t xml:space="preserve">Big 4 firms price and scope for enterprise. Indie consultants lack methodology and infrastructure. The mid-market buyer—ops leaders at 200–2,000 person companies with document-heavy workflows—is structurally underserved. They want the rigor of a framework and the speed of a sprint, at a price point that doesn’t require board approval. The Lighthouse Sprint is designed for exactly this buyer.</w:t>
      </w:r>
    </w:p>
    <w:p>
      <w:pPr>
        <w:spacing w:after="80"/>
      </w:pPr>
    </w:p>
    <w:p>
      <w:r>
        <w:br w:type="page"/>
      </w:r>
    </w:p>
    <w:p>
      <w:pPr>
        <w:pStyle w:val="Heading1"/>
        <w:spacing w:after="200" w:before="400"/>
      </w:pPr>
      <w:r>
        <w:rPr>
          <w:rFonts w:ascii="Arial" w:cs="Arial" w:eastAsia="Arial" w:hAnsi="Arial"/>
          <w:b/>
          <w:bCs/>
          <w:color w:val="040608"/>
          <w:sz w:val="32"/>
          <w:szCs w:val="32"/>
        </w:rPr>
        <w:t xml:space="preserve">7. Competitive Positioning Map</w:t>
      </w:r>
    </w:p>
    <w:p>
      <w:pPr>
        <w:spacing w:after="160" w:line="276"/>
      </w:pPr>
      <w:r>
        <w:rPr>
          <w:rFonts w:ascii="Arial" w:cs="Arial" w:eastAsia="Arial" w:hAnsi="Arial"/>
          <w:color w:val="333333"/>
          <w:sz w:val="21"/>
          <w:szCs w:val="21"/>
        </w:rPr>
        <w:t xml:space="preserve">The landscape can be mapped on two axes: advisory depth (strategy vs. implementation) and workflow specificity (generic AI vs. workflow-redesigned agents). Umbra Studio’s target position is the upper-right quadrant—deep implementation with workflow-specific redesign.</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Quadrant</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Players</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What They Deliver</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Umbra’s Advantage</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Advisory + Generic AI</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McKinsey, Bain, most Big 4</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Strategy decks, frameworks, roadmaps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Umbra ships working systems, not decks</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Advisory + Workflow-Specific</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BCG X, Deloitte (best case)</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Strategy + workflow assessment</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Umbra builds AND deploys the redesign</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Implementation + Generic AI</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Dextra Labs, Mojotech, indie devs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Custom AI builds without workflow redesign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Umbra redesigns the workflow first, then builds</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Implementation + Workflow-Specific</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UMBRA STUDIO (target position)</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Redesigned workflow + production system + governance + handoff</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Only player with dogfooded patterns and a compounding library</w:t>
            </w:r>
          </w:p>
        </w:tc>
      </w:tr>
    </w:tbl>
    <w:p>
      <w:pPr>
        <w:spacing w:after="80"/>
      </w:pPr>
    </w:p>
    <w:p>
      <w:r>
        <w:br w:type="page"/>
      </w:r>
    </w:p>
    <w:p>
      <w:pPr>
        <w:pStyle w:val="Heading1"/>
        <w:spacing w:after="200" w:before="400"/>
      </w:pPr>
      <w:r>
        <w:rPr>
          <w:rFonts w:ascii="Arial" w:cs="Arial" w:eastAsia="Arial" w:hAnsi="Arial"/>
          <w:b/>
          <w:bCs/>
          <w:color w:val="040608"/>
          <w:sz w:val="32"/>
          <w:szCs w:val="32"/>
        </w:rPr>
        <w:t xml:space="preserve">8. LATAM Market Analysis: El Salvador, Mexico &amp; Central America</w:t>
      </w:r>
    </w:p>
    <w:p>
      <w:pPr>
        <w:spacing w:after="160" w:line="276"/>
      </w:pPr>
      <w:r>
        <w:rPr>
          <w:rFonts w:ascii="Arial" w:cs="Arial" w:eastAsia="Arial" w:hAnsi="Arial"/>
          <w:color w:val="333333"/>
          <w:sz w:val="21"/>
          <w:szCs w:val="21"/>
        </w:rPr>
        <w:t xml:space="preserve">The global analysis above maps the landscape Umbra Studio competes in conceptually. But there’s a near-term opportunity closer to home: Latin America—specifically El Salvador, Mexico, and the Central American corridor—where AI workflow consulting is nascent, competition is thin, and Umbra’s bilingual positioning and regional roots are structural advantages.</w:t>
      </w:r>
    </w:p>
    <w:p>
      <w:pPr>
        <w:spacing w:after="40"/>
      </w:pPr>
    </w:p>
    <w:p>
      <w:pPr>
        <w:pStyle w:val="Heading2"/>
        <w:spacing w:after="150" w:before="300"/>
      </w:pPr>
      <w:r>
        <w:rPr>
          <w:rFonts w:ascii="Arial" w:cs="Arial" w:eastAsia="Arial" w:hAnsi="Arial"/>
          <w:b/>
          <w:bCs/>
          <w:color w:val="4D9EFF"/>
          <w:sz w:val="26"/>
          <w:szCs w:val="26"/>
        </w:rPr>
        <w:t xml:space="preserve">8.1 Market Context</w:t>
      </w:r>
    </w:p>
    <w:p>
      <w:pPr>
        <w:spacing w:after="160" w:line="276"/>
      </w:pPr>
      <w:r>
        <w:rPr>
          <w:rFonts w:ascii="Arial" w:cs="Arial" w:eastAsia="Arial" w:hAnsi="Arial"/>
          <w:color w:val="333333"/>
          <w:sz w:val="21"/>
          <w:szCs w:val="21"/>
        </w:rPr>
        <w:t xml:space="preserve">The Latin America AI market was valued at $5.79B in 2025 and is projected to reach $34.62B by 2034 (CAGR 22%). Within this, Mexico’s AI market hit $3.68B in 2025. But the adoption story is more nuanced than the headline numbers suggest:</w:t>
      </w:r>
    </w:p>
    <w:p>
      <w:pPr>
        <w:pStyle w:val="ListParagraph"/>
        <w:numPr>
          <w:ilvl w:val="0"/>
          <w:numId w:val="2"/>
        </w:numPr>
        <w:spacing w:after="80" w:line="276"/>
      </w:pPr>
      <w:r>
        <w:rPr>
          <w:rFonts w:ascii="Arial" w:cs="Arial" w:eastAsia="Arial" w:hAnsi="Arial"/>
          <w:b/>
          <w:bCs/>
          <w:color w:val="333333"/>
          <w:sz w:val="21"/>
          <w:szCs w:val="21"/>
        </w:rPr>
        <w:t xml:space="preserve">97% of LATAM organizations </w:t>
      </w:r>
      <w:r>
        <w:rPr>
          <w:rFonts w:ascii="Arial" w:cs="Arial" w:eastAsia="Arial" w:hAnsi="Arial"/>
          <w:color w:val="333333"/>
          <w:sz w:val="21"/>
          <w:szCs w:val="21"/>
        </w:rPr>
        <w:t xml:space="preserve">plan to increase AI budgets in the next 12 months (IDC).</w:t>
      </w:r>
    </w:p>
    <w:p>
      <w:pPr>
        <w:pStyle w:val="ListParagraph"/>
        <w:numPr>
          <w:ilvl w:val="0"/>
          <w:numId w:val="2"/>
        </w:numPr>
        <w:spacing w:after="80" w:line="276"/>
      </w:pPr>
      <w:r>
        <w:rPr>
          <w:rFonts w:ascii="Arial" w:cs="Arial" w:eastAsia="Arial" w:hAnsi="Arial"/>
          <w:b/>
          <w:bCs/>
          <w:color w:val="333333"/>
          <w:sz w:val="21"/>
          <w:szCs w:val="21"/>
        </w:rPr>
        <w:t xml:space="preserve">Only 3% of Mexican companies </w:t>
      </w:r>
      <w:r>
        <w:rPr>
          <w:rFonts w:ascii="Arial" w:cs="Arial" w:eastAsia="Arial" w:hAnsi="Arial"/>
          <w:color w:val="333333"/>
          <w:sz w:val="21"/>
          <w:szCs w:val="21"/>
        </w:rPr>
        <w:t xml:space="preserve">have reached advanced AI implementation. 72% limit AI to basic, isolated uses.</w:t>
      </w:r>
    </w:p>
    <w:p>
      <w:pPr>
        <w:pStyle w:val="ListParagraph"/>
        <w:numPr>
          <w:ilvl w:val="0"/>
          <w:numId w:val="2"/>
        </w:numPr>
        <w:spacing w:after="80" w:line="276"/>
      </w:pPr>
      <w:r>
        <w:rPr>
          <w:rFonts w:ascii="Arial" w:cs="Arial" w:eastAsia="Arial" w:hAnsi="Arial"/>
          <w:b/>
          <w:bCs/>
          <w:color w:val="333333"/>
          <w:sz w:val="21"/>
          <w:szCs w:val="21"/>
        </w:rPr>
        <w:t xml:space="preserve">17.2% of Salvadoran small businesses </w:t>
      </w:r>
      <w:r>
        <w:rPr>
          <w:rFonts w:ascii="Arial" w:cs="Arial" w:eastAsia="Arial" w:hAnsi="Arial"/>
          <w:color w:val="333333"/>
          <w:sz w:val="21"/>
          <w:szCs w:val="21"/>
        </w:rPr>
        <w:t xml:space="preserve">already incorporate AI tools—mostly in customer service, automation, and data analysis.</w:t>
      </w:r>
    </w:p>
    <w:p>
      <w:pPr>
        <w:pStyle w:val="ListParagraph"/>
        <w:numPr>
          <w:ilvl w:val="0"/>
          <w:numId w:val="2"/>
        </w:numPr>
        <w:spacing w:after="80" w:line="276"/>
      </w:pPr>
      <w:r>
        <w:rPr>
          <w:rFonts w:ascii="Arial" w:cs="Arial" w:eastAsia="Arial" w:hAnsi="Arial"/>
          <w:b/>
          <w:bCs/>
          <w:color w:val="333333"/>
          <w:sz w:val="21"/>
          <w:szCs w:val="21"/>
        </w:rPr>
        <w:t xml:space="preserve">76% of Costa Rican tech firms </w:t>
      </w:r>
      <w:r>
        <w:rPr>
          <w:rFonts w:ascii="Arial" w:cs="Arial" w:eastAsia="Arial" w:hAnsi="Arial"/>
          <w:color w:val="333333"/>
          <w:sz w:val="21"/>
          <w:szCs w:val="21"/>
        </w:rPr>
        <w:t xml:space="preserve">use generative AI and digital agents in operations.</w:t>
      </w:r>
    </w:p>
    <w:p>
      <w:pPr>
        <w:pStyle w:val="ListParagraph"/>
        <w:numPr>
          <w:ilvl w:val="0"/>
          <w:numId w:val="2"/>
        </w:numPr>
        <w:spacing w:after="80" w:line="276"/>
      </w:pPr>
      <w:r>
        <w:rPr>
          <w:rFonts w:ascii="Arial" w:cs="Arial" w:eastAsia="Arial" w:hAnsi="Arial"/>
          <w:b/>
          <w:bCs/>
          <w:color w:val="333333"/>
          <w:sz w:val="21"/>
          <w:szCs w:val="21"/>
        </w:rPr>
        <w:t xml:space="preserve">El Salvador was named the world’s fastest-growing startup ecosystem </w:t>
      </w:r>
      <w:r>
        <w:rPr>
          <w:rFonts w:ascii="Arial" w:cs="Arial" w:eastAsia="Arial" w:hAnsi="Arial"/>
          <w:color w:val="333333"/>
          <w:sz w:val="21"/>
          <w:szCs w:val="21"/>
        </w:rPr>
        <w:t xml:space="preserve">in 2025 by StartupBlink. San Salvador climbed 400+ positions to 300th globally—a 520% increase.</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D9EFF" w:sz="6"/>
              <w:left w:val="none" w:color="FFFFFF" w:sz="0"/>
              <w:bottom w:val="none" w:color="FFFFFF" w:sz="0"/>
              <w:right w:val="none" w:color="FFFFFF" w:sz="0"/>
            </w:tcBorders>
            <w:shd w:fill="EBF3FF" w:val="clear"/>
            <w:tcMar>
              <w:top w:type="dxa" w:w="160"/>
              <w:left w:type="dxa" w:w="200"/>
              <w:bottom w:type="dxa" w:w="160"/>
              <w:right w:type="dxa" w:w="200"/>
            </w:tcMar>
          </w:tcPr>
          <w:p>
            <w:pPr>
              <w:spacing w:after="80"/>
            </w:pPr>
            <w:r>
              <w:rPr>
                <w:rFonts w:ascii="Arial" w:cs="Arial" w:eastAsia="Arial" w:hAnsi="Arial"/>
                <w:b/>
                <w:bCs/>
                <w:color w:val="4D9EFF"/>
                <w:sz w:val="21"/>
                <w:szCs w:val="21"/>
              </w:rPr>
              <w:t xml:space="preserve">The LATAM Opportunity</w:t>
            </w:r>
          </w:p>
          <w:p>
            <w:pPr>
              <w:spacing w:after="0"/>
            </w:pPr>
            <w:r>
              <w:rPr>
                <w:rFonts w:ascii="Arial" w:cs="Arial" w:eastAsia="Arial" w:hAnsi="Arial"/>
                <w:color w:val="444444"/>
                <w:sz w:val="20"/>
                <w:szCs w:val="20"/>
              </w:rPr>
              <w:t xml:space="preserve">The pattern is identical to the global paradox but one stage earlier: LATAM companies are adopting AI tools rapidly, but almost nobody is offering workflow redesign. They’re bolting chatbots and basic automations onto existing processes. The gap between “using AI” and “redesigning workflows around AI” is even wider here than in the US.</w:t>
            </w:r>
          </w:p>
        </w:tc>
      </w:tr>
    </w:tbl>
    <w:p>
      <w:pPr>
        <w:spacing w:after="80"/>
      </w:pPr>
    </w:p>
    <w:p>
      <w:pPr>
        <w:pStyle w:val="Heading2"/>
        <w:spacing w:after="150" w:before="300"/>
      </w:pPr>
      <w:r>
        <w:rPr>
          <w:rFonts w:ascii="Arial" w:cs="Arial" w:eastAsia="Arial" w:hAnsi="Arial"/>
          <w:b/>
          <w:bCs/>
          <w:color w:val="4D9EFF"/>
          <w:sz w:val="26"/>
          <w:szCs w:val="26"/>
        </w:rPr>
        <w:t xml:space="preserve">8.2 Competitive Landscape by Country</w:t>
      </w:r>
    </w:p>
    <w:p>
      <w:pPr>
        <w:spacing w:after="40"/>
      </w:pPr>
    </w:p>
    <w:p>
      <w:pPr>
        <w:spacing w:after="100" w:before="200"/>
      </w:pPr>
      <w:r>
        <w:rPr>
          <w:rFonts w:ascii="Arial" w:cs="Arial" w:eastAsia="Arial" w:hAnsi="Arial"/>
          <w:b/>
          <w:bCs/>
          <w:color w:val="040608"/>
          <w:sz w:val="22"/>
          <w:szCs w:val="22"/>
        </w:rPr>
        <w:t xml:space="preserve">El Salvador</w:t>
      </w:r>
    </w:p>
    <w:p>
      <w:pPr>
        <w:spacing w:after="160" w:line="276"/>
      </w:pPr>
      <w:r>
        <w:rPr>
          <w:rFonts w:ascii="Arial" w:cs="Arial" w:eastAsia="Arial" w:hAnsi="Arial"/>
          <w:color w:val="333333"/>
          <w:sz w:val="21"/>
          <w:szCs w:val="21"/>
        </w:rPr>
        <w:t xml:space="preserve">El Salvador’s tech ecosystem is growing fast but is focused on nearshore development and basic AI services, not workflow consulting:</w:t>
      </w:r>
    </w:p>
    <w:p>
      <w:pPr>
        <w:spacing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Company</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Services</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Model</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Threat Level</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Applaudo Studios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Nearshore AI, cloud, app dev. 800+ team, 27 countries. Won “Digital Transformation of the Year LATAM 2025.”</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Nearshore staff augmentation + project delivery</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Low—dev shop, not workflow consulting</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VEX AI / VEX Soluciones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AI design, development, integration for Salvadoran businesses. ML, chatbots, data analysis.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Project-based custom builds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Low—tool builders, not workflow redesigners</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Tech SV</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solutions for Salvadoran enterprises. Chatbots, automation, analytics.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Project-based</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Low—basic automation</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Baigency</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AI consulting for Salvadoran businesses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Not disclosed</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Low—early stage, limited public track record</w:t>
            </w:r>
          </w:p>
        </w:tc>
      </w:tr>
    </w:tbl>
    <w:p>
      <w:pPr>
        <w:spacing w:after="40"/>
      </w:pPr>
    </w:p>
    <w:p>
      <w:pPr>
        <w:spacing w:after="160" w:line="276"/>
      </w:pPr>
      <w:r>
        <w:rPr>
          <w:rFonts w:ascii="Arial" w:cs="Arial" w:eastAsia="Arial" w:hAnsi="Arial"/>
          <w:color w:val="333333"/>
          <w:sz w:val="21"/>
          <w:szCs w:val="21"/>
        </w:rPr>
        <w:t xml:space="preserve">The Salvadoran market has development talent and growing AI adoption, but zero firms offering workflow-redesign consulting. The government is actively creating incentives (up to 15 years of tax exemptions for tech companies) and building AI Zones. CoreNest launched a $25M accelerator with the first cohort starting February 2026. The ecosystem is primed for a consulting offer but nobody is making one.</w:t>
      </w:r>
    </w:p>
    <w:p>
      <w:pPr>
        <w:spacing w:after="80"/>
      </w:pPr>
    </w:p>
    <w:p>
      <w:pPr>
        <w:spacing w:after="100" w:before="200"/>
      </w:pPr>
      <w:r>
        <w:rPr>
          <w:rFonts w:ascii="Arial" w:cs="Arial" w:eastAsia="Arial" w:hAnsi="Arial"/>
          <w:b/>
          <w:bCs/>
          <w:color w:val="040608"/>
          <w:sz w:val="22"/>
          <w:szCs w:val="22"/>
        </w:rPr>
        <w:t xml:space="preserve">Mexico</w:t>
      </w:r>
    </w:p>
    <w:p>
      <w:pPr>
        <w:spacing w:after="160" w:line="276"/>
      </w:pPr>
      <w:r>
        <w:rPr>
          <w:rFonts w:ascii="Arial" w:cs="Arial" w:eastAsia="Arial" w:hAnsi="Arial"/>
          <w:color w:val="333333"/>
          <w:sz w:val="21"/>
          <w:szCs w:val="21"/>
        </w:rPr>
        <w:t xml:space="preserve">Mexico is the largest and most developed market in the region. AI consulting exists here, but it’s overwhelmingly focused on tool implementation, not workflow redesign:</w:t>
      </w:r>
    </w:p>
    <w:p>
      <w:pPr>
        <w:spacing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Company</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Services</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Model</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Threat Level</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Softtek</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AI-enabled digital transformation. First LATAM firm with ISO 42001 certification.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Enterprise consulting + managed services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Medium—enterprise-focused, heavy process, slow</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Wizeline</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Applied AI, product engineering, cloud. Offices in CDMX, GDL, MTY, QRO.</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Staff augmentation + project delivery</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Low—builders, not consultants</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Magokoro</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360 for PyMEs: Make, ChatGPT, Manychat, Airtable, autonomous agents.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SMB-focused diagnosis + implementation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Low-Medium—closest to Umbra’s space but tool-first, not workflow-first</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Duotach</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Transparent automation pricing for PyMEs. Diagnosis $500 USD, monthly from $700 USD.</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Retainer + project-based</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Low—automation vendor, not consultant</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iTechPymes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IA and automation for PyMEs in Monterrey. Chatbots, n8n, Make, CRM.</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Local SMB services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Low—regional, basic automation</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Infinitix Group</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AI agents, certified consulting for PyMEs.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Consulting + implementation</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Low—early, limited differentiation</w:t>
            </w:r>
          </w:p>
        </w:tc>
      </w:tr>
    </w:tbl>
    <w:p>
      <w:pPr>
        <w:spacing w:after="40"/>
      </w:pPr>
    </w:p>
    <w:p>
      <w:pPr>
        <w:spacing w:after="160" w:line="276"/>
      </w:pPr>
      <w:r>
        <w:rPr>
          <w:rFonts w:ascii="Arial" w:cs="Arial" w:eastAsia="Arial" w:hAnsi="Arial"/>
          <w:color w:val="333333"/>
          <w:sz w:val="21"/>
          <w:szCs w:val="21"/>
        </w:rPr>
        <w:t xml:space="preserve">The key finding: Mexican AI consulting for PyMEs is a tool-installation business. Firms sell chatbots, Make/Zapier automations, and dashboards. Nobody is stopwatching a workflow end-to-end, redesigning it around agents, and handing over a governance wrapper. The workflow-redesign tier of the market simply doesn’t exist yet.</w:t>
      </w:r>
    </w:p>
    <w:p>
      <w:pPr>
        <w:spacing w:after="80"/>
      </w:pPr>
    </w:p>
    <w:p>
      <w:pPr>
        <w:spacing w:after="100" w:before="200"/>
      </w:pPr>
      <w:r>
        <w:rPr>
          <w:rFonts w:ascii="Arial" w:cs="Arial" w:eastAsia="Arial" w:hAnsi="Arial"/>
          <w:b/>
          <w:bCs/>
          <w:color w:val="040608"/>
          <w:sz w:val="22"/>
          <w:szCs w:val="22"/>
        </w:rPr>
        <w:t xml:space="preserve">Central America (Costa Rica, Guatemala, Panama)</w:t>
      </w:r>
    </w:p>
    <w:p>
      <w:pPr>
        <w:spacing w:after="160" w:line="276"/>
      </w:pPr>
      <w:r>
        <w:rPr>
          <w:rFonts w:ascii="Arial" w:cs="Arial" w:eastAsia="Arial" w:hAnsi="Arial"/>
          <w:color w:val="333333"/>
          <w:sz w:val="21"/>
          <w:szCs w:val="21"/>
        </w:rPr>
        <w:t xml:space="preserve">The Central American corridor is defined by nearshore development services, not AI consulting:</w:t>
      </w:r>
    </w:p>
    <w:p>
      <w:pPr>
        <w:spacing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Company/Entity</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Country</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Services</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Threat Level</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SmartGo360</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Costa Rica</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 data analytics across CR, GT, SV, HN. Dashboards, alerts, decision support.</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Low—analytics, not workflow redesign</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EY Centroamérica</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Regional</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AI consulting, robotic/intelligent automation for regulated environments.</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Medium—Big 4 brand but not specialized in agentic workflows</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Grant Thornton CR</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Costa Rica</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AI implementation: OCR, ML for daily client activities.</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Low—basic AI services</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Kuno Digital</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Guatemala</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Process automation, digital tools integration, CX optimization.</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Low—generalist digital transformation</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Automate.cr</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Costa Rica</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Business automation with AI.</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Low—tool vendor</w:t>
            </w:r>
          </w:p>
        </w:tc>
      </w:tr>
    </w:tbl>
    <w:p>
      <w:pPr>
        <w:spacing w:after="40"/>
      </w:pPr>
    </w:p>
    <w:p>
      <w:pPr>
        <w:spacing w:after="160" w:line="276"/>
      </w:pPr>
      <w:r>
        <w:rPr>
          <w:rFonts w:ascii="Arial" w:cs="Arial" w:eastAsia="Arial" w:hAnsi="Arial"/>
          <w:color w:val="333333"/>
          <w:sz w:val="21"/>
          <w:szCs w:val="21"/>
        </w:rPr>
        <w:t xml:space="preserve">Costa Rica leads the region in tech maturity (50K+ IT workers, highest English proficiency in LATAM), but its AI ecosystem is oriented toward nearshore delivery for US clients, not local consulting. Guatemala and Panama are earlier still. No firm in the corridor is doing agentic workflow redesign.</w:t>
      </w:r>
    </w:p>
    <w:p>
      <w:pPr>
        <w:spacing w:after="80"/>
      </w:pPr>
    </w:p>
    <w:p>
      <w:pPr>
        <w:pStyle w:val="Heading2"/>
        <w:spacing w:after="150" w:before="300"/>
      </w:pPr>
      <w:r>
        <w:rPr>
          <w:rFonts w:ascii="Arial" w:cs="Arial" w:eastAsia="Arial" w:hAnsi="Arial"/>
          <w:b/>
          <w:bCs/>
          <w:color w:val="4D9EFF"/>
          <w:sz w:val="26"/>
          <w:szCs w:val="26"/>
        </w:rPr>
        <w:t xml:space="preserve">8.3 LATAM Pricing Landscape</w:t>
      </w:r>
    </w:p>
    <w:p>
      <w:pPr>
        <w:spacing w:after="160" w:line="276"/>
      </w:pPr>
      <w:r>
        <w:rPr>
          <w:rFonts w:ascii="Arial" w:cs="Arial" w:eastAsia="Arial" w:hAnsi="Arial"/>
          <w:color w:val="333333"/>
          <w:sz w:val="21"/>
          <w:szCs w:val="21"/>
        </w:rPr>
        <w:t xml:space="preserve">Pricing in the region is dramatically lower than the US market, which creates both a constraint and an opportunity:</w:t>
      </w:r>
    </w:p>
    <w:p>
      <w:pPr>
        <w:spacing w:after="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Engagement Type</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Mexico (MXN)</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Mexico (USD equiv.)</w:t>
            </w:r>
          </w:p>
        </w:tc>
        <w:tc>
          <w:tcPr>
            <w:tcW w:type="dxa" w:w="2340"/>
            <w:tcBorders>
              <w:top w:val="single" w:color="D0D8E8" w:sz="1"/>
              <w:left w:val="single" w:color="D0D8E8" w:sz="1"/>
              <w:bottom w:val="single" w:color="D0D8E8" w:sz="1"/>
              <w:right w:val="single" w:color="D0D8E8" w:sz="1"/>
            </w:tcBorders>
            <w:shd w:fill="040608" w:val="clear"/>
            <w:tcMar>
              <w:top w:type="dxa" w:w="80"/>
              <w:left w:type="dxa" w:w="120"/>
              <w:bottom w:type="dxa" w:w="80"/>
              <w:right w:type="dxa" w:w="120"/>
            </w:tcMar>
          </w:tcPr>
          <w:p>
            <w:r>
              <w:rPr>
                <w:rFonts w:ascii="Arial" w:cs="Arial" w:eastAsia="Arial" w:hAnsi="Arial"/>
                <w:b/>
                <w:bCs/>
                <w:color w:val="FFFFFF"/>
                <w:sz w:val="19"/>
                <w:szCs w:val="19"/>
              </w:rPr>
              <w:t xml:space="preserve">US Equivalent</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Initial diagnosis / assessment</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$10,000 MXN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~$500 USD</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$5K–15K</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Monthly retainer (SMB)</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$14,000–40,000 MXN</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~$700–2,000 USD</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$5K–15K</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One-off project (basic automation)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$60,000–300,000 MXN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~$3K–15K USD</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$25K–90K</w:t>
            </w:r>
          </w:p>
        </w:tc>
      </w:tr>
      <w:tr>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Custom project (full build)</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$100,000–600,000+ MXN</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~$5K–30K+ USD</w:t>
            </w:r>
          </w:p>
        </w:tc>
        <w:tc>
          <w:tcPr>
            <w:tcW w:type="dxa" w:w="2340"/>
            <w:tcBorders>
              <w:top w:val="single" w:color="D0D8E8" w:sz="1"/>
              <w:left w:val="single" w:color="D0D8E8" w:sz="1"/>
              <w:bottom w:val="single" w:color="D0D8E8" w:sz="1"/>
              <w:right w:val="single" w:color="D0D8E8" w:sz="1"/>
            </w:tcBorders>
            <w:shd w:fill="F7F9FC" w:val="clear"/>
            <w:tcMar>
              <w:top w:type="dxa" w:w="80"/>
              <w:left w:type="dxa" w:w="120"/>
              <w:bottom w:type="dxa" w:w="80"/>
              <w:right w:type="dxa" w:w="120"/>
            </w:tcMar>
          </w:tcPr>
          <w:p>
            <w:r>
              <w:rPr>
                <w:rFonts w:ascii="Arial" w:cs="Arial" w:eastAsia="Arial" w:hAnsi="Arial"/>
                <w:color w:val="333333"/>
                <w:sz w:val="19"/>
                <w:szCs w:val="19"/>
              </w:rPr>
              <w:t xml:space="preserve">$40K–150K</w:t>
            </w:r>
          </w:p>
        </w:tc>
      </w:tr>
      <w:tr>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SaaS/tool subscription</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$1,500–25,000 MXN/mo</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~$75–1,250 USD/mo</w:t>
            </w:r>
          </w:p>
        </w:tc>
        <w:tc>
          <w:tcPr>
            <w:tcW w:type="dxa" w:w="2340"/>
            <w:tcBorders>
              <w:top w:val="single" w:color="D0D8E8" w:sz="1"/>
              <w:left w:val="single" w:color="D0D8E8" w:sz="1"/>
              <w:bottom w:val="single" w:color="D0D8E8" w:sz="1"/>
              <w:right w:val="single" w:color="D0D8E8" w:sz="1"/>
            </w:tcBorders>
            <w:shd w:fill="FFFFFF" w:val="clear"/>
            <w:tcMar>
              <w:top w:type="dxa" w:w="80"/>
              <w:left w:type="dxa" w:w="120"/>
              <w:bottom w:type="dxa" w:w="80"/>
              <w:right w:type="dxa" w:w="120"/>
            </w:tcMar>
          </w:tcPr>
          <w:p>
            <w:r>
              <w:rPr>
                <w:rFonts w:ascii="Arial" w:cs="Arial" w:eastAsia="Arial" w:hAnsi="Arial"/>
                <w:color w:val="333333"/>
                <w:sz w:val="19"/>
                <w:szCs w:val="19"/>
              </w:rPr>
              <w:t xml:space="preserve">$500–5K/mo</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D9EFF" w:sz="6"/>
              <w:left w:val="none" w:color="FFFFFF" w:sz="0"/>
              <w:bottom w:val="none" w:color="FFFFFF" w:sz="0"/>
              <w:right w:val="none" w:color="FFFFFF" w:sz="0"/>
            </w:tcBorders>
            <w:shd w:fill="EBF3FF" w:val="clear"/>
            <w:tcMar>
              <w:top w:type="dxa" w:w="160"/>
              <w:left w:type="dxa" w:w="200"/>
              <w:bottom w:type="dxa" w:w="160"/>
              <w:right w:type="dxa" w:w="200"/>
            </w:tcMar>
          </w:tcPr>
          <w:p>
            <w:pPr>
              <w:spacing w:after="80"/>
            </w:pPr>
            <w:r>
              <w:rPr>
                <w:rFonts w:ascii="Arial" w:cs="Arial" w:eastAsia="Arial" w:hAnsi="Arial"/>
                <w:b/>
                <w:bCs/>
                <w:color w:val="4D9EFF"/>
                <w:sz w:val="21"/>
                <w:szCs w:val="21"/>
              </w:rPr>
              <w:t xml:space="preserve">Pricing Strategy for LATAM</w:t>
            </w:r>
          </w:p>
          <w:p>
            <w:pPr>
              <w:spacing w:after="0"/>
            </w:pPr>
            <w:r>
              <w:rPr>
                <w:rFonts w:ascii="Arial" w:cs="Arial" w:eastAsia="Arial" w:hAnsi="Arial"/>
                <w:color w:val="444444"/>
                <w:sz w:val="20"/>
                <w:szCs w:val="20"/>
              </w:rPr>
              <w:t xml:space="preserve">LATAM pricing is 60–70% lower than US rates. But Umbra isn’t competing on the same axis. The local firms sell tool installation ($500–5K engagements). Umbra sells workflow redesign with production deployment and governance—a service that literally doesn’t exist locally. The pricing question isn’t “how much cheaper than the US?”—it’s “what’s a Lighthouse Sprint worth to a company that’s burning $10K+/month in manual workflow inefficiency?” A $10K–25K USD Lighthouse Sprint in LATAM would be premium-priced relative to local automation vendors but represent extraordinary value relative to the outcome delivered.</w:t>
            </w:r>
          </w:p>
        </w:tc>
      </w:tr>
    </w:tbl>
    <w:p>
      <w:pPr>
        <w:spacing w:after="80"/>
      </w:pPr>
    </w:p>
    <w:p>
      <w:pPr>
        <w:pStyle w:val="Heading2"/>
        <w:spacing w:after="150" w:before="300"/>
      </w:pPr>
      <w:r>
        <w:rPr>
          <w:rFonts w:ascii="Arial" w:cs="Arial" w:eastAsia="Arial" w:hAnsi="Arial"/>
          <w:b/>
          <w:bCs/>
          <w:color w:val="4D9EFF"/>
          <w:sz w:val="26"/>
          <w:szCs w:val="26"/>
        </w:rPr>
        <w:t xml:space="preserve">8.4 LATAM-Specific Advantages for Umbra Studio</w:t>
      </w:r>
    </w:p>
    <w:p>
      <w:pPr>
        <w:spacing w:after="20"/>
      </w:pPr>
    </w:p>
    <w:p>
      <w:pPr>
        <w:pStyle w:val="ListParagraph"/>
        <w:numPr>
          <w:ilvl w:val="0"/>
          <w:numId w:val="2"/>
        </w:numPr>
        <w:spacing w:after="80" w:line="276"/>
      </w:pPr>
      <w:r>
        <w:rPr>
          <w:rFonts w:ascii="Arial" w:cs="Arial" w:eastAsia="Arial" w:hAnsi="Arial"/>
          <w:b/>
          <w:bCs/>
          <w:color w:val="333333"/>
          <w:sz w:val="21"/>
          <w:szCs w:val="21"/>
        </w:rPr>
        <w:t xml:space="preserve">Native Spanish + bilingual positioning. </w:t>
      </w:r>
      <w:r>
        <w:rPr>
          <w:rFonts w:ascii="Arial" w:cs="Arial" w:eastAsia="Arial" w:hAnsi="Arial"/>
          <w:color w:val="333333"/>
          <w:sz w:val="21"/>
          <w:szCs w:val="21"/>
        </w:rPr>
        <w:t xml:space="preserve">Umbra’s founder is Salvadoran. Indietheka is a Spanish-language property. The brand can speak to LATAM buyers in their language—literally and culturally—in a way that US-based consultancies cannot.</w:t>
      </w:r>
    </w:p>
    <w:p>
      <w:pPr>
        <w:pStyle w:val="ListParagraph"/>
        <w:numPr>
          <w:ilvl w:val="0"/>
          <w:numId w:val="2"/>
        </w:numPr>
        <w:spacing w:after="80" w:line="276"/>
      </w:pPr>
      <w:r>
        <w:rPr>
          <w:rFonts w:ascii="Arial" w:cs="Arial" w:eastAsia="Arial" w:hAnsi="Arial"/>
          <w:b/>
          <w:bCs/>
          <w:color w:val="333333"/>
          <w:sz w:val="21"/>
          <w:szCs w:val="21"/>
        </w:rPr>
        <w:t xml:space="preserve">First-mover on workflow redesign in the region. </w:t>
      </w:r>
      <w:r>
        <w:rPr>
          <w:rFonts w:ascii="Arial" w:cs="Arial" w:eastAsia="Arial" w:hAnsi="Arial"/>
          <w:color w:val="333333"/>
          <w:sz w:val="21"/>
          <w:szCs w:val="21"/>
        </w:rPr>
        <w:t xml:space="preserve">The competitive landscape is tool vendors and nearshore dev shops. Nobody is offering agentic workflow consulting. Umbra would be creating the category, not entering it.</w:t>
      </w:r>
    </w:p>
    <w:p>
      <w:pPr>
        <w:pStyle w:val="ListParagraph"/>
        <w:numPr>
          <w:ilvl w:val="0"/>
          <w:numId w:val="2"/>
        </w:numPr>
        <w:spacing w:after="80" w:line="276"/>
      </w:pPr>
      <w:r>
        <w:rPr>
          <w:rFonts w:ascii="Arial" w:cs="Arial" w:eastAsia="Arial" w:hAnsi="Arial"/>
          <w:b/>
          <w:bCs/>
          <w:color w:val="333333"/>
          <w:sz w:val="21"/>
          <w:szCs w:val="21"/>
        </w:rPr>
        <w:t xml:space="preserve">El Salvador’s tech-friendly regulatory environment. </w:t>
      </w:r>
      <w:r>
        <w:rPr>
          <w:rFonts w:ascii="Arial" w:cs="Arial" w:eastAsia="Arial" w:hAnsi="Arial"/>
          <w:color w:val="333333"/>
          <w:sz w:val="21"/>
          <w:szCs w:val="21"/>
        </w:rPr>
        <w:t xml:space="preserve">Tax exemptions for tech companies (up to 15 years), AI Zones, government-backed accelerators. Operating from El Salvador as a base gives Umbra structural cost advantages.</w:t>
      </w:r>
    </w:p>
    <w:p>
      <w:pPr>
        <w:pStyle w:val="ListParagraph"/>
        <w:numPr>
          <w:ilvl w:val="0"/>
          <w:numId w:val="2"/>
        </w:numPr>
        <w:spacing w:after="80" w:line="276"/>
      </w:pPr>
      <w:r>
        <w:rPr>
          <w:rFonts w:ascii="Arial" w:cs="Arial" w:eastAsia="Arial" w:hAnsi="Arial"/>
          <w:b/>
          <w:bCs/>
          <w:color w:val="333333"/>
          <w:sz w:val="21"/>
          <w:szCs w:val="21"/>
        </w:rPr>
        <w:t xml:space="preserve">Indietheka as a Spanish-language case study. </w:t>
      </w:r>
      <w:r>
        <w:rPr>
          <w:rFonts w:ascii="Arial" w:cs="Arial" w:eastAsia="Arial" w:hAnsi="Arial"/>
          <w:color w:val="333333"/>
          <w:sz w:val="21"/>
          <w:szCs w:val="21"/>
        </w:rPr>
        <w:t xml:space="preserve">No translation needed. A LATAM buyer can read the Indietheka case study in their language and see a workflow they understand—Spanish-language content operations—redesigned with agents. This lands differently than a translated US case study.</w:t>
      </w:r>
    </w:p>
    <w:p>
      <w:pPr>
        <w:pStyle w:val="ListParagraph"/>
        <w:numPr>
          <w:ilvl w:val="0"/>
          <w:numId w:val="2"/>
        </w:numPr>
        <w:spacing w:after="80" w:line="276"/>
      </w:pPr>
      <w:r>
        <w:rPr>
          <w:rFonts w:ascii="Arial" w:cs="Arial" w:eastAsia="Arial" w:hAnsi="Arial"/>
          <w:b/>
          <w:bCs/>
          <w:color w:val="333333"/>
          <w:sz w:val="21"/>
          <w:szCs w:val="21"/>
        </w:rPr>
        <w:t xml:space="preserve">Lower-cost entry builds portfolio for US expansion. </w:t>
      </w:r>
      <w:r>
        <w:rPr>
          <w:rFonts w:ascii="Arial" w:cs="Arial" w:eastAsia="Arial" w:hAnsi="Arial"/>
          <w:color w:val="333333"/>
          <w:sz w:val="21"/>
          <w:szCs w:val="21"/>
        </w:rPr>
        <w:t xml:space="preserve">LATAM Lighthouse Sprints at $10K–25K build the pattern library and case study inventory that supports $75K–200K engagements in the US market. The LATAM work funds itself and compounds into the US offering.</w:t>
      </w:r>
    </w:p>
    <w:p>
      <w:pPr>
        <w:spacing w:after="80"/>
      </w:pPr>
    </w:p>
    <w:p>
      <w:pPr>
        <w:pStyle w:val="Heading2"/>
        <w:spacing w:after="150" w:before="300"/>
      </w:pPr>
      <w:r>
        <w:rPr>
          <w:rFonts w:ascii="Arial" w:cs="Arial" w:eastAsia="Arial" w:hAnsi="Arial"/>
          <w:b/>
          <w:bCs/>
          <w:color w:val="4D9EFF"/>
          <w:sz w:val="26"/>
          <w:szCs w:val="26"/>
        </w:rPr>
        <w:t xml:space="preserve">8.5 Recommended LATAM Go-to-Market</w:t>
      </w:r>
    </w:p>
    <w:p>
      <w:pPr>
        <w:spacing w:after="20"/>
      </w:pPr>
    </w:p>
    <w:p>
      <w:pPr>
        <w:pStyle w:val="ListParagraph"/>
        <w:numPr>
          <w:ilvl w:val="0"/>
          <w:numId w:val="3"/>
        </w:numPr>
        <w:spacing w:after="100" w:line="276"/>
      </w:pPr>
      <w:r>
        <w:rPr>
          <w:rFonts w:ascii="Arial" w:cs="Arial" w:eastAsia="Arial" w:hAnsi="Arial"/>
          <w:b/>
          <w:bCs/>
          <w:sz w:val="21"/>
          <w:szCs w:val="21"/>
        </w:rPr>
        <w:t xml:space="preserve">Start in El Salvador. </w:t>
      </w:r>
      <w:r>
        <w:rPr>
          <w:rFonts w:ascii="Arial" w:cs="Arial" w:eastAsia="Arial" w:hAnsi="Arial"/>
          <w:color w:val="333333"/>
          <w:sz w:val="21"/>
          <w:szCs w:val="21"/>
        </w:rPr>
        <w:t xml:space="preserve">Home turf. Growing ecosystem, government incentives, no competition in the workflow-redesign space. Target 2–3 local businesses with document-heavy ops (logistics, finance, import/export, media) for introductory-priced Lighthouse Sprints.</w:t>
      </w:r>
    </w:p>
    <w:p>
      <w:pPr>
        <w:pStyle w:val="ListParagraph"/>
        <w:numPr>
          <w:ilvl w:val="0"/>
          <w:numId w:val="3"/>
        </w:numPr>
        <w:spacing w:after="100" w:line="276"/>
      </w:pPr>
      <w:r>
        <w:rPr>
          <w:rFonts w:ascii="Arial" w:cs="Arial" w:eastAsia="Arial" w:hAnsi="Arial"/>
          <w:b/>
          <w:bCs/>
          <w:sz w:val="21"/>
          <w:szCs w:val="21"/>
        </w:rPr>
        <w:t xml:space="preserve">Expand to Mexico City and Monterrey. </w:t>
      </w:r>
      <w:r>
        <w:rPr>
          <w:rFonts w:ascii="Arial" w:cs="Arial" w:eastAsia="Arial" w:hAnsi="Arial"/>
          <w:color w:val="333333"/>
          <w:sz w:val="21"/>
          <w:szCs w:val="21"/>
        </w:rPr>
        <w:t xml:space="preserve">Mexico’s PyME market is large, AI-curious, and currently served only by tool vendors. The workflow-redesign pitch will be genuinely new. Price Lighthouse Sprints at $15K–25K USD—premium for the market but accessible.</w:t>
      </w:r>
    </w:p>
    <w:p>
      <w:pPr>
        <w:pStyle w:val="ListParagraph"/>
        <w:numPr>
          <w:ilvl w:val="0"/>
          <w:numId w:val="3"/>
        </w:numPr>
        <w:spacing w:after="100" w:line="276"/>
      </w:pPr>
      <w:r>
        <w:rPr>
          <w:rFonts w:ascii="Arial" w:cs="Arial" w:eastAsia="Arial" w:hAnsi="Arial"/>
          <w:b/>
          <w:bCs/>
          <w:sz w:val="21"/>
          <w:szCs w:val="21"/>
        </w:rPr>
        <w:t xml:space="preserve">Use Costa Rica as the Central American bridge. </w:t>
      </w:r>
      <w:r>
        <w:rPr>
          <w:rFonts w:ascii="Arial" w:cs="Arial" w:eastAsia="Arial" w:hAnsi="Arial"/>
          <w:color w:val="333333"/>
          <w:sz w:val="21"/>
          <w:szCs w:val="21"/>
        </w:rPr>
        <w:t xml:space="preserve">Highest tech maturity in the corridor, English proficiency, and a buyer base accustomed to paying for professional services. Costa Rican firms are already 76% adopted on gen AI—they’re ready for the next step.</w:t>
      </w:r>
    </w:p>
    <w:p>
      <w:pPr>
        <w:pStyle w:val="ListParagraph"/>
        <w:numPr>
          <w:ilvl w:val="0"/>
          <w:numId w:val="3"/>
        </w:numPr>
        <w:spacing w:after="100" w:line="276"/>
      </w:pPr>
      <w:r>
        <w:rPr>
          <w:rFonts w:ascii="Arial" w:cs="Arial" w:eastAsia="Arial" w:hAnsi="Arial"/>
          <w:b/>
          <w:bCs/>
          <w:sz w:val="21"/>
          <w:szCs w:val="21"/>
        </w:rPr>
        <w:t xml:space="preserve">Price a LATAM Lighthouse Sprint at $8K–25K USD. </w:t>
      </w:r>
      <w:r>
        <w:rPr>
          <w:rFonts w:ascii="Arial" w:cs="Arial" w:eastAsia="Arial" w:hAnsi="Arial"/>
          <w:color w:val="333333"/>
          <w:sz w:val="21"/>
          <w:szCs w:val="21"/>
        </w:rPr>
        <w:t xml:space="preserve">Tiered: $8K–12K for small businesses, $15K–25K for mid-market. Discovery-only at $2K–5K. These are premium by local standards but a fraction of the US offering—and they build the pattern library and case studies that make the US pricing defensible.</w:t>
      </w:r>
    </w:p>
    <w:p>
      <w:pPr>
        <w:pStyle w:val="ListParagraph"/>
        <w:numPr>
          <w:ilvl w:val="0"/>
          <w:numId w:val="3"/>
        </w:numPr>
        <w:spacing w:after="100" w:line="276"/>
      </w:pPr>
      <w:r>
        <w:rPr>
          <w:rFonts w:ascii="Arial" w:cs="Arial" w:eastAsia="Arial" w:hAnsi="Arial"/>
          <w:b/>
          <w:bCs/>
          <w:sz w:val="21"/>
          <w:szCs w:val="21"/>
        </w:rPr>
        <w:t xml:space="preserve">Lead with Indietheka in Spanish. </w:t>
      </w:r>
      <w:r>
        <w:rPr>
          <w:rFonts w:ascii="Arial" w:cs="Arial" w:eastAsia="Arial" w:hAnsi="Arial"/>
          <w:color w:val="333333"/>
          <w:sz w:val="21"/>
          <w:szCs w:val="21"/>
        </w:rPr>
        <w:t xml:space="preserve">The case study doesn’t need localization. It IS local. A Spanish-language editorial operation redesigned with agents, measured in real metrics. That’s the opening credential for every LATAM conversation.</w:t>
      </w:r>
    </w:p>
    <w:p>
      <w:pPr>
        <w:spacing w:after="80"/>
      </w:pPr>
    </w:p>
    <w:p>
      <w:r>
        <w:br w:type="page"/>
      </w:r>
    </w:p>
    <w:p>
      <w:pPr>
        <w:pStyle w:val="Heading1"/>
        <w:spacing w:after="200" w:before="400"/>
      </w:pPr>
      <w:r>
        <w:rPr>
          <w:rFonts w:ascii="Arial" w:cs="Arial" w:eastAsia="Arial" w:hAnsi="Arial"/>
          <w:b/>
          <w:bCs/>
          <w:color w:val="040608"/>
          <w:sz w:val="32"/>
          <w:szCs w:val="32"/>
        </w:rPr>
        <w:t xml:space="preserve">9. Recommendations</w:t>
      </w:r>
    </w:p>
    <w:p>
      <w:pPr>
        <w:spacing w:after="160" w:line="276"/>
      </w:pPr>
      <w:r>
        <w:rPr>
          <w:rFonts w:ascii="Arial" w:cs="Arial" w:eastAsia="Arial" w:hAnsi="Arial"/>
          <w:color w:val="333333"/>
          <w:sz w:val="21"/>
          <w:szCs w:val="21"/>
        </w:rPr>
        <w:t xml:space="preserve">Based on this analysis, the following actions will sharpen Umbra Studio’s positioning and give it structural advantages over every player in the landscape.</w:t>
      </w:r>
    </w:p>
    <w:p>
      <w:pPr>
        <w:spacing w:after="40"/>
      </w:pPr>
    </w:p>
    <w:p>
      <w:pPr>
        <w:pStyle w:val="Heading2"/>
        <w:spacing w:after="150" w:before="300"/>
      </w:pPr>
      <w:r>
        <w:rPr>
          <w:rFonts w:ascii="Arial" w:cs="Arial" w:eastAsia="Arial" w:hAnsi="Arial"/>
          <w:b/>
          <w:bCs/>
          <w:color w:val="4D9EFF"/>
          <w:sz w:val="26"/>
          <w:szCs w:val="26"/>
        </w:rPr>
        <w:t xml:space="preserve">9.1 Positioning &amp; Messaging</w:t>
      </w:r>
    </w:p>
    <w:p>
      <w:pPr>
        <w:pStyle w:val="ListParagraph"/>
        <w:numPr>
          <w:ilvl w:val="0"/>
          <w:numId w:val="3"/>
        </w:numPr>
        <w:spacing w:after="100" w:line="276"/>
      </w:pPr>
      <w:r>
        <w:rPr>
          <w:rFonts w:ascii="Arial" w:cs="Arial" w:eastAsia="Arial" w:hAnsi="Arial"/>
          <w:b/>
          <w:bCs/>
          <w:sz w:val="21"/>
          <w:szCs w:val="21"/>
        </w:rPr>
        <w:t xml:space="preserve">Lead with the paradox. </w:t>
      </w:r>
      <w:r>
        <w:rPr>
          <w:rFonts w:ascii="Arial" w:cs="Arial" w:eastAsia="Arial" w:hAnsi="Arial"/>
          <w:color w:val="333333"/>
          <w:sz w:val="21"/>
          <w:szCs w:val="21"/>
        </w:rPr>
        <w:t xml:space="preserve">Open every outbound surface with the McKinsey data: 80% deployed, 80% no impact, 21% redesigned. Then position Umbra as the firm that closes the gap.</w:t>
      </w:r>
    </w:p>
    <w:p>
      <w:pPr>
        <w:pStyle w:val="ListParagraph"/>
        <w:numPr>
          <w:ilvl w:val="0"/>
          <w:numId w:val="3"/>
        </w:numPr>
        <w:spacing w:after="100" w:line="276"/>
      </w:pPr>
      <w:r>
        <w:rPr>
          <w:rFonts w:ascii="Arial" w:cs="Arial" w:eastAsia="Arial" w:hAnsi="Arial"/>
          <w:b/>
          <w:bCs/>
          <w:sz w:val="21"/>
          <w:szCs w:val="21"/>
        </w:rPr>
        <w:t xml:space="preserve">Make dogfooding the headline. </w:t>
      </w:r>
      <w:r>
        <w:rPr>
          <w:rFonts w:ascii="Arial" w:cs="Arial" w:eastAsia="Arial" w:hAnsi="Arial"/>
          <w:color w:val="333333"/>
          <w:sz w:val="21"/>
          <w:szCs w:val="21"/>
        </w:rPr>
        <w:t xml:space="preserve">“We run our own agentic businesses” should be the first thing a prospect sees. Not as a footnote—as the opening credential.</w:t>
      </w:r>
    </w:p>
    <w:p>
      <w:pPr>
        <w:pStyle w:val="ListParagraph"/>
        <w:numPr>
          <w:ilvl w:val="0"/>
          <w:numId w:val="3"/>
        </w:numPr>
        <w:spacing w:after="100" w:line="276"/>
      </w:pPr>
      <w:r>
        <w:rPr>
          <w:rFonts w:ascii="Arial" w:cs="Arial" w:eastAsia="Arial" w:hAnsi="Arial"/>
          <w:b/>
          <w:bCs/>
          <w:sz w:val="21"/>
          <w:szCs w:val="21"/>
        </w:rPr>
        <w:t xml:space="preserve">Name the methodology. </w:t>
      </w:r>
      <w:r>
        <w:rPr>
          <w:rFonts w:ascii="Arial" w:cs="Arial" w:eastAsia="Arial" w:hAnsi="Arial"/>
          <w:color w:val="333333"/>
          <w:sz w:val="21"/>
          <w:szCs w:val="21"/>
        </w:rPr>
        <w:t xml:space="preserve">The Lighthouse Sprint is the engagement; the methodology is bigger. Give it a name that buyers can use internally.</w:t>
      </w:r>
    </w:p>
    <w:p>
      <w:pPr>
        <w:spacing w:after="40"/>
      </w:pPr>
    </w:p>
    <w:p>
      <w:pPr>
        <w:pStyle w:val="Heading2"/>
        <w:spacing w:after="150" w:before="300"/>
      </w:pPr>
      <w:r>
        <w:rPr>
          <w:rFonts w:ascii="Arial" w:cs="Arial" w:eastAsia="Arial" w:hAnsi="Arial"/>
          <w:b/>
          <w:bCs/>
          <w:color w:val="4D9EFF"/>
          <w:sz w:val="26"/>
          <w:szCs w:val="26"/>
        </w:rPr>
        <w:t xml:space="preserve">9.2 Pricing &amp; Packaging</w:t>
      </w:r>
    </w:p>
    <w:p>
      <w:pPr>
        <w:pStyle w:val="ListParagraph"/>
        <w:numPr>
          <w:ilvl w:val="0"/>
          <w:numId w:val="3"/>
        </w:numPr>
        <w:spacing w:after="100" w:line="276"/>
      </w:pPr>
      <w:r>
        <w:rPr>
          <w:rFonts w:ascii="Arial" w:cs="Arial" w:eastAsia="Arial" w:hAnsi="Arial"/>
          <w:b/>
          <w:bCs/>
          <w:sz w:val="21"/>
          <w:szCs w:val="21"/>
        </w:rPr>
        <w:t xml:space="preserve">Two-tier entry. </w:t>
      </w:r>
      <w:r>
        <w:rPr>
          <w:rFonts w:ascii="Arial" w:cs="Arial" w:eastAsia="Arial" w:hAnsi="Arial"/>
          <w:color w:val="333333"/>
          <w:sz w:val="21"/>
          <w:szCs w:val="21"/>
        </w:rPr>
        <w:t xml:space="preserve">Discovery-Only ($15K–30K, 2 weeks) + Full Lighthouse Sprint ($75K–200K, 6–10 weeks). The discovery engagement converts and de-risks.</w:t>
      </w:r>
    </w:p>
    <w:p>
      <w:pPr>
        <w:pStyle w:val="ListParagraph"/>
        <w:numPr>
          <w:ilvl w:val="0"/>
          <w:numId w:val="3"/>
        </w:numPr>
        <w:spacing w:after="100" w:line="276"/>
      </w:pPr>
      <w:r>
        <w:rPr>
          <w:rFonts w:ascii="Arial" w:cs="Arial" w:eastAsia="Arial" w:hAnsi="Arial"/>
          <w:b/>
          <w:bCs/>
          <w:sz w:val="21"/>
          <w:szCs w:val="21"/>
        </w:rPr>
        <w:t xml:space="preserve">Fixed base + outcome kicker. </w:t>
      </w:r>
      <w:r>
        <w:rPr>
          <w:rFonts w:ascii="Arial" w:cs="Arial" w:eastAsia="Arial" w:hAnsi="Arial"/>
          <w:color w:val="333333"/>
          <w:sz w:val="21"/>
          <w:szCs w:val="21"/>
        </w:rPr>
        <w:t xml:space="preserve">Base covers delivery; kicker tied to measured deltas (time, throughput, error rates). Publish “starting at $X” to filter; scope to the workflow.</w:t>
      </w:r>
    </w:p>
    <w:p>
      <w:pPr>
        <w:pStyle w:val="ListParagraph"/>
        <w:numPr>
          <w:ilvl w:val="0"/>
          <w:numId w:val="3"/>
        </w:numPr>
        <w:spacing w:after="100" w:line="276"/>
      </w:pPr>
      <w:r>
        <w:rPr>
          <w:rFonts w:ascii="Arial" w:cs="Arial" w:eastAsia="Arial" w:hAnsi="Arial"/>
          <w:b/>
          <w:bCs/>
          <w:sz w:val="21"/>
          <w:szCs w:val="21"/>
        </w:rPr>
        <w:t xml:space="preserve">Never bill hourly. </w:t>
      </w:r>
      <w:r>
        <w:rPr>
          <w:rFonts w:ascii="Arial" w:cs="Arial" w:eastAsia="Arial" w:hAnsi="Arial"/>
          <w:color w:val="333333"/>
          <w:sz w:val="21"/>
          <w:szCs w:val="21"/>
        </w:rPr>
        <w:t xml:space="preserve">Hourly billing signals “we sell time.” Fixed-fee + outcome signals “we sell results.” This is a positioning decision as much as a pricing one.</w:t>
      </w:r>
    </w:p>
    <w:p>
      <w:pPr>
        <w:spacing w:after="40"/>
      </w:pPr>
    </w:p>
    <w:p>
      <w:pPr>
        <w:pStyle w:val="Heading2"/>
        <w:spacing w:after="150" w:before="300"/>
      </w:pPr>
      <w:r>
        <w:rPr>
          <w:rFonts w:ascii="Arial" w:cs="Arial" w:eastAsia="Arial" w:hAnsi="Arial"/>
          <w:b/>
          <w:bCs/>
          <w:color w:val="4D9EFF"/>
          <w:sz w:val="26"/>
          <w:szCs w:val="26"/>
        </w:rPr>
        <w:t xml:space="preserve">9.3 Deliverables &amp; Differentiation</w:t>
      </w:r>
    </w:p>
    <w:p>
      <w:pPr>
        <w:pStyle w:val="ListParagraph"/>
        <w:numPr>
          <w:ilvl w:val="0"/>
          <w:numId w:val="3"/>
        </w:numPr>
        <w:spacing w:after="100" w:line="276"/>
      </w:pPr>
      <w:r>
        <w:rPr>
          <w:rFonts w:ascii="Arial" w:cs="Arial" w:eastAsia="Arial" w:hAnsi="Arial"/>
          <w:b/>
          <w:bCs/>
          <w:sz w:val="21"/>
          <w:szCs w:val="21"/>
        </w:rPr>
        <w:t xml:space="preserve">Ship governance as standard. </w:t>
      </w:r>
      <w:r>
        <w:rPr>
          <w:rFonts w:ascii="Arial" w:cs="Arial" w:eastAsia="Arial" w:hAnsi="Arial"/>
          <w:color w:val="333333"/>
          <w:sz w:val="21"/>
          <w:szCs w:val="21"/>
        </w:rPr>
        <w:t xml:space="preserve">Every Lighthouse Sprint includes a governance wrapper: escalation paths, monitoring, audit trails, human-above-the-loop checkpoints. Not a PDF—a running system.</w:t>
      </w:r>
    </w:p>
    <w:p>
      <w:pPr>
        <w:pStyle w:val="ListParagraph"/>
        <w:numPr>
          <w:ilvl w:val="0"/>
          <w:numId w:val="3"/>
        </w:numPr>
        <w:spacing w:after="100" w:line="276"/>
      </w:pPr>
      <w:r>
        <w:rPr>
          <w:rFonts w:ascii="Arial" w:cs="Arial" w:eastAsia="Arial" w:hAnsi="Arial"/>
          <w:b/>
          <w:bCs/>
          <w:sz w:val="21"/>
          <w:szCs w:val="21"/>
        </w:rPr>
        <w:t xml:space="preserve">Build the pattern library from day one. </w:t>
      </w:r>
      <w:r>
        <w:rPr>
          <w:rFonts w:ascii="Arial" w:cs="Arial" w:eastAsia="Arial" w:hAnsi="Arial"/>
          <w:color w:val="333333"/>
          <w:sz w:val="21"/>
          <w:szCs w:val="21"/>
        </w:rPr>
        <w:t xml:space="preserve">Document each property’s agentic components as reusable patterns. Document each client engagement’s components the same way. This is the compounding moat.</w:t>
      </w:r>
    </w:p>
    <w:p>
      <w:pPr>
        <w:pStyle w:val="ListParagraph"/>
        <w:numPr>
          <w:ilvl w:val="0"/>
          <w:numId w:val="3"/>
        </w:numPr>
        <w:spacing w:after="100" w:line="276"/>
      </w:pPr>
      <w:r>
        <w:rPr>
          <w:rFonts w:ascii="Arial" w:cs="Arial" w:eastAsia="Arial" w:hAnsi="Arial"/>
          <w:b/>
          <w:bCs/>
          <w:sz w:val="21"/>
          <w:szCs w:val="21"/>
        </w:rPr>
        <w:t xml:space="preserve">Publish the Indietheka case study before first outreach. </w:t>
      </w:r>
      <w:r>
        <w:rPr>
          <w:rFonts w:ascii="Arial" w:cs="Arial" w:eastAsia="Arial" w:hAnsi="Arial"/>
          <w:color w:val="333333"/>
          <w:sz w:val="21"/>
          <w:szCs w:val="21"/>
        </w:rPr>
        <w:t xml:space="preserve">Real baseline, real redesign, real measured deltas. This is the proof that the methodology works—and it’s the proof that no competitor can replicate.</w:t>
      </w:r>
    </w:p>
    <w:p>
      <w:pPr>
        <w:spacing w:after="80"/>
      </w:pPr>
    </w:p>
    <w:p>
      <w:pPr>
        <w:pBdr>
          <w:bottom w:val="single" w:color="D0D8E8" w:sz="2" w:space="1"/>
        </w:pBdr>
        <w:spacing w:after="200" w:before="200"/>
      </w:pPr>
    </w:p>
    <w:p>
      <w:pPr>
        <w:spacing w:after="40"/>
      </w:pPr>
    </w:p>
    <w:p>
      <w:pPr>
        <w:pStyle w:val="Heading1"/>
        <w:spacing w:after="200" w:before="400"/>
      </w:pPr>
      <w:r>
        <w:rPr>
          <w:rFonts w:ascii="Arial" w:cs="Arial" w:eastAsia="Arial" w:hAnsi="Arial"/>
          <w:b/>
          <w:bCs/>
          <w:color w:val="040608"/>
          <w:sz w:val="32"/>
          <w:szCs w:val="32"/>
        </w:rPr>
        <w:t xml:space="preserve">10. Sources</w:t>
      </w:r>
    </w:p>
    <w:p>
      <w:pPr>
        <w:spacing w:after="160" w:line="276"/>
      </w:pPr>
      <w:r>
        <w:rPr>
          <w:rFonts w:ascii="Arial" w:cs="Arial" w:eastAsia="Arial" w:hAnsi="Arial"/>
          <w:color w:val="333333"/>
          <w:sz w:val="21"/>
          <w:szCs w:val="21"/>
        </w:rPr>
        <w:t xml:space="preserve">McKinsey, “The State of AI: How Organizations Are Rewiring to Capture Value” (March 2025)</w:t>
      </w:r>
    </w:p>
    <w:p>
      <w:pPr>
        <w:spacing w:after="160" w:line="276"/>
      </w:pPr>
      <w:r>
        <w:rPr>
          <w:rFonts w:ascii="Arial" w:cs="Arial" w:eastAsia="Arial" w:hAnsi="Arial"/>
          <w:color w:val="333333"/>
          <w:sz w:val="21"/>
          <w:szCs w:val="21"/>
        </w:rPr>
        <w:t xml:space="preserve">McKinsey, “Seizing the Agentic AI Advantage” (2025)</w:t>
      </w:r>
    </w:p>
    <w:p>
      <w:pPr>
        <w:spacing w:after="160" w:line="276"/>
      </w:pPr>
      <w:r>
        <w:rPr>
          <w:rFonts w:ascii="Arial" w:cs="Arial" w:eastAsia="Arial" w:hAnsi="Arial"/>
          <w:color w:val="333333"/>
          <w:sz w:val="21"/>
          <w:szCs w:val="21"/>
        </w:rPr>
        <w:t xml:space="preserve">Deloitte, “The State of AI in the Enterprise” (2026)</w:t>
      </w:r>
    </w:p>
    <w:p>
      <w:pPr>
        <w:spacing w:after="160" w:line="276"/>
      </w:pPr>
      <w:r>
        <w:rPr>
          <w:rFonts w:ascii="Arial" w:cs="Arial" w:eastAsia="Arial" w:hAnsi="Arial"/>
          <w:color w:val="333333"/>
          <w:sz w:val="21"/>
          <w:szCs w:val="21"/>
        </w:rPr>
        <w:t xml:space="preserve">BCG, “How Agentic AI Is Transforming Enterprise Platforms” (2025)</w:t>
      </w:r>
    </w:p>
    <w:p>
      <w:pPr>
        <w:spacing w:after="160" w:line="276"/>
      </w:pPr>
      <w:r>
        <w:rPr>
          <w:rFonts w:ascii="Arial" w:cs="Arial" w:eastAsia="Arial" w:hAnsi="Arial"/>
          <w:color w:val="333333"/>
          <w:sz w:val="21"/>
          <w:szCs w:val="21"/>
        </w:rPr>
        <w:t xml:space="preserve">Bain &amp; Company, “State of the Art of Agentic AI Transformation” (2025)</w:t>
      </w:r>
    </w:p>
    <w:p>
      <w:pPr>
        <w:spacing w:after="160" w:line="276"/>
      </w:pPr>
      <w:r>
        <w:rPr>
          <w:rFonts w:ascii="Arial" w:cs="Arial" w:eastAsia="Arial" w:hAnsi="Arial"/>
          <w:color w:val="333333"/>
          <w:sz w:val="21"/>
          <w:szCs w:val="21"/>
        </w:rPr>
        <w:t xml:space="preserve">Harvard Data Science Review, “The Agent-Centric Enterprise” (2025)</w:t>
      </w:r>
    </w:p>
    <w:p>
      <w:pPr>
        <w:spacing w:after="160" w:line="276"/>
      </w:pPr>
      <w:r>
        <w:rPr>
          <w:rFonts w:ascii="Arial" w:cs="Arial" w:eastAsia="Arial" w:hAnsi="Arial"/>
          <w:color w:val="333333"/>
          <w:sz w:val="21"/>
          <w:szCs w:val="21"/>
        </w:rPr>
        <w:t xml:space="preserve">Stack Expert, “How to Structure &amp; Price AI Consulting” (2026)</w:t>
      </w:r>
    </w:p>
    <w:p>
      <w:pPr>
        <w:spacing w:after="160" w:line="276"/>
      </w:pPr>
      <w:r>
        <w:rPr>
          <w:rFonts w:ascii="Arial" w:cs="Arial" w:eastAsia="Arial" w:hAnsi="Arial"/>
          <w:color w:val="333333"/>
          <w:sz w:val="21"/>
          <w:szCs w:val="21"/>
        </w:rPr>
        <w:t xml:space="preserve">Aiken House, “Best AI Consulting Firms That Go Beyond Strategy Decks” (2026)</w:t>
      </w:r>
    </w:p>
    <w:p>
      <w:pPr>
        <w:spacing w:after="160" w:line="276"/>
      </w:pPr>
      <w:r>
        <w:rPr>
          <w:rFonts w:ascii="Arial" w:cs="Arial" w:eastAsia="Arial" w:hAnsi="Arial"/>
          <w:color w:val="333333"/>
          <w:sz w:val="21"/>
          <w:szCs w:val="21"/>
        </w:rPr>
        <w:t xml:space="preserve">Vstorm, “TriStorm Agentic AI Delivery Framework” (2026)</w:t>
      </w:r>
    </w:p>
    <w:p>
      <w:pPr>
        <w:spacing w:after="160" w:line="276"/>
      </w:pPr>
      <w:r>
        <w:rPr>
          <w:rFonts w:ascii="Arial" w:cs="Arial" w:eastAsia="Arial" w:hAnsi="Arial"/>
          <w:color w:val="333333"/>
          <w:sz w:val="21"/>
          <w:szCs w:val="21"/>
        </w:rPr>
        <w:t xml:space="preserve">Articsledge, “AI Transformation Consulting Guide” (2026)</w:t>
      </w:r>
    </w:p>
    <w:p>
      <w:pPr>
        <w:spacing w:after="160" w:line="276"/>
      </w:pPr>
      <w:r>
        <w:rPr>
          <w:rFonts w:ascii="Arial" w:cs="Arial" w:eastAsia="Arial" w:hAnsi="Arial"/>
          <w:color w:val="333333"/>
          <w:sz w:val="21"/>
          <w:szCs w:val="21"/>
        </w:rPr>
        <w:t xml:space="preserve">GTMnow, “In AI, Brand Is the Foundation of Your Moat” (2025)</w:t>
      </w:r>
    </w:p>
    <w:p>
      <w:pPr>
        <w:spacing w:after="160" w:line="276"/>
      </w:pPr>
      <w:r>
        <w:rPr>
          <w:rFonts w:ascii="Arial" w:cs="Arial" w:eastAsia="Arial" w:hAnsi="Arial"/>
          <w:color w:val="333333"/>
          <w:sz w:val="21"/>
          <w:szCs w:val="21"/>
        </w:rPr>
        <w:t xml:space="preserve">Credo AI, Product Overview (2026)</w:t>
      </w:r>
    </w:p>
    <w:p>
      <w:pPr>
        <w:spacing w:after="160" w:line="276"/>
      </w:pPr>
      <w:r>
        <w:rPr>
          <w:rFonts w:ascii="Arial" w:cs="Arial" w:eastAsia="Arial" w:hAnsi="Arial"/>
          <w:color w:val="333333"/>
          <w:sz w:val="21"/>
          <w:szCs w:val="21"/>
        </w:rPr>
        <w:t xml:space="preserve">IMARC Group, “Latin America Artificial Intelligence Market Size” (2025)</w:t>
      </w:r>
    </w:p>
    <w:p>
      <w:pPr>
        <w:spacing w:after="160" w:line="276"/>
      </w:pPr>
      <w:r>
        <w:rPr>
          <w:rFonts w:ascii="Arial" w:cs="Arial" w:eastAsia="Arial" w:hAnsi="Arial"/>
          <w:color w:val="333333"/>
          <w:sz w:val="21"/>
          <w:szCs w:val="21"/>
        </w:rPr>
        <w:t xml:space="preserve">IDC, “Most Latin American Firms to Boost AI Spend Over the Year” (2026)</w:t>
      </w:r>
    </w:p>
    <w:p>
      <w:pPr>
        <w:spacing w:after="160" w:line="276"/>
      </w:pPr>
      <w:r>
        <w:rPr>
          <w:rFonts w:ascii="Arial" w:cs="Arial" w:eastAsia="Arial" w:hAnsi="Arial"/>
          <w:color w:val="333333"/>
          <w:sz w:val="21"/>
          <w:szCs w:val="21"/>
        </w:rPr>
        <w:t xml:space="preserve">StartupBlink, Global Startup Ecosystem Index 2025 — El Salvador</w:t>
      </w:r>
    </w:p>
    <w:p>
      <w:pPr>
        <w:spacing w:after="160" w:line="276"/>
      </w:pPr>
      <w:r>
        <w:rPr>
          <w:rFonts w:ascii="Arial" w:cs="Arial" w:eastAsia="Arial" w:hAnsi="Arial"/>
          <w:color w:val="333333"/>
          <w:sz w:val="21"/>
          <w:szCs w:val="21"/>
        </w:rPr>
        <w:t xml:space="preserve">Infobae, “El auge del humano amplificado: IA transformando el emprendimiento en El Salvador” (March 2026)</w:t>
      </w:r>
    </w:p>
    <w:p>
      <w:pPr>
        <w:spacing w:after="160" w:line="276"/>
      </w:pPr>
      <w:r>
        <w:rPr>
          <w:rFonts w:ascii="Arial" w:cs="Arial" w:eastAsia="Arial" w:hAnsi="Arial"/>
          <w:color w:val="333333"/>
          <w:sz w:val="21"/>
          <w:szCs w:val="21"/>
        </w:rPr>
        <w:t xml:space="preserve">Duotach, “¿Cuánto Cuesta Automatizar con IA en México 2026?” (2026)</w:t>
      </w:r>
    </w:p>
    <w:p>
      <w:pPr>
        <w:spacing w:after="160" w:line="276"/>
      </w:pPr>
      <w:r>
        <w:rPr>
          <w:rFonts w:ascii="Arial" w:cs="Arial" w:eastAsia="Arial" w:hAnsi="Arial"/>
          <w:color w:val="333333"/>
          <w:sz w:val="21"/>
          <w:szCs w:val="21"/>
        </w:rPr>
        <w:t xml:space="preserve">Magokoro, “Top 10 Consultoras IA México 2026” (2026)</w:t>
      </w:r>
    </w:p>
    <w:p>
      <w:pPr>
        <w:spacing w:after="160" w:line="276"/>
      </w:pPr>
      <w:r>
        <w:rPr>
          <w:rFonts w:ascii="Arial" w:cs="Arial" w:eastAsia="Arial" w:hAnsi="Arial"/>
          <w:color w:val="333333"/>
          <w:sz w:val="21"/>
          <w:szCs w:val="21"/>
        </w:rPr>
        <w:t xml:space="preserve">Mexico Business News, “The Road for Mexican Companies to Unlock AI Agent Potential” (2026)</w:t>
      </w:r>
    </w:p>
    <w:p>
      <w:pPr>
        <w:spacing w:after="160" w:line="276"/>
      </w:pPr>
      <w:r>
        <w:rPr>
          <w:rFonts w:ascii="Arial" w:cs="Arial" w:eastAsia="Arial" w:hAnsi="Arial"/>
          <w:color w:val="333333"/>
          <w:sz w:val="21"/>
          <w:szCs w:val="21"/>
        </w:rPr>
        <w:t xml:space="preserve">Chambers &amp; Partners, “Technology M&amp;A 2025: El Salvador” (2025)</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0D8E8" w:sz="1" w:space="4"/>
      </w:pBdr>
      <w:tabs>
        <w:tab w:val="right" w:pos="9026"/>
      </w:tabs>
    </w:pPr>
    <w:r>
      <w:rPr>
        <w:rFonts w:ascii="Arial" w:cs="Arial" w:eastAsia="Arial" w:hAnsi="Arial"/>
        <w:color w:val="4A5A7A"/>
        <w:sz w:val="16"/>
        <w:szCs w:val="16"/>
      </w:rPr>
      <w:t xml:space="preserve">Confidential</w:t>
    </w:r>
    <w:r>
      <w:rPr>
        <w:rFonts w:ascii="Arial" w:cs="Arial" w:eastAsia="Arial" w:hAnsi="Arial"/>
        <w:color w:val="4A5A7A"/>
        <w:sz w:val="16"/>
        <w:szCs w:val="16"/>
      </w:rPr>
      <w:t xml:space="preserve">	Page </w:t>
    </w:r>
    <w:r>
      <w:rPr>
        <w:rFonts w:ascii="Arial" w:cs="Arial" w:eastAsia="Arial" w:hAnsi="Arial"/>
        <w:color w:val="4A5A7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4A5A7A"/>
        <w:spacing w:val="120"/>
        <w:sz w:val="16"/>
        <w:szCs w:val="16"/>
      </w:rPr>
      <w:t xml:space="preserve">UMBRA STUDIO</w:t>
    </w:r>
    <w:r>
      <w:rPr>
        <w:rFonts w:ascii="Arial" w:cs="Arial" w:eastAsia="Arial" w:hAnsi="Arial"/>
        <w:color w:val="A8B8D8"/>
        <w:sz w:val="16"/>
        <w:szCs w:val="16"/>
      </w:rPr>
      <w:t xml:space="preserve">	Competitive Landscape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sz w:val="32"/>
      <w:szCs w:val="32"/>
    </w:rPr>
  </w:style>
  <w:style w:type="paragraph" w:styleId="Heading2">
    <w:name w:val="Heading 2"/>
    <w:basedOn w:val="Normal"/>
    <w:next w:val="Normal"/>
    <w:qFormat/>
    <w:pPr>
      <w:spacing w:after="150" w:before="30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2026-04-17T03:14:26.821Z</dcterms:created>
  <dcterms:modified xsi:type="dcterms:W3CDTF">2026-04-17T03:14:26.821Z</dcterms:modified>
</cp:coreProperties>
</file>

<file path=docProps/custom.xml><?xml version="1.0" encoding="utf-8"?>
<Properties xmlns="http://schemas.openxmlformats.org/officeDocument/2006/custom-properties" xmlns:vt="http://schemas.openxmlformats.org/officeDocument/2006/docPropsVTypes"/>
</file>